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D0" w:rsidRDefault="007901D0" w:rsidP="007901D0">
      <w:pPr>
        <w:tabs>
          <w:tab w:val="left" w:pos="6195"/>
          <w:tab w:val="left" w:pos="7875"/>
        </w:tabs>
        <w:jc w:val="center"/>
        <w:rPr>
          <w:b/>
          <w:bCs/>
        </w:rPr>
      </w:pPr>
      <w:r>
        <w:rPr>
          <w:noProof/>
        </w:rPr>
        <w:drawing>
          <wp:inline distT="0" distB="0" distL="0" distR="0">
            <wp:extent cx="1657350" cy="20955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657350" cy="2095500"/>
                    </a:xfrm>
                    <a:prstGeom prst="rect">
                      <a:avLst/>
                    </a:prstGeom>
                    <a:noFill/>
                    <a:ln w="9525">
                      <a:noFill/>
                      <a:miter lim="800000"/>
                      <a:headEnd/>
                      <a:tailEnd/>
                    </a:ln>
                  </pic:spPr>
                </pic:pic>
              </a:graphicData>
            </a:graphic>
          </wp:inline>
        </w:drawing>
      </w:r>
    </w:p>
    <w:p w:rsidR="007901D0" w:rsidRDefault="007901D0" w:rsidP="007901D0">
      <w:pPr>
        <w:jc w:val="center"/>
        <w:rPr>
          <w:b/>
          <w:bCs/>
          <w:i/>
          <w:iCs/>
          <w:sz w:val="20"/>
          <w:szCs w:val="20"/>
          <w:u w:val="single"/>
        </w:rPr>
      </w:pPr>
    </w:p>
    <w:p w:rsidR="007901D0" w:rsidRPr="007901D0" w:rsidRDefault="007901D0" w:rsidP="007901D0">
      <w:pPr>
        <w:autoSpaceDE w:val="0"/>
        <w:autoSpaceDN w:val="0"/>
        <w:adjustRightInd w:val="0"/>
        <w:spacing w:after="0" w:line="240" w:lineRule="auto"/>
        <w:jc w:val="center"/>
        <w:rPr>
          <w:rFonts w:cstheme="minorHAnsi"/>
          <w:b/>
          <w:bCs/>
          <w:i/>
          <w:sz w:val="48"/>
          <w:szCs w:val="48"/>
          <w:u w:val="single"/>
        </w:rPr>
      </w:pPr>
      <w:r w:rsidRPr="007901D0">
        <w:rPr>
          <w:rFonts w:cstheme="minorHAnsi"/>
          <w:b/>
          <w:bCs/>
          <w:i/>
          <w:sz w:val="48"/>
          <w:szCs w:val="48"/>
          <w:u w:val="single"/>
        </w:rPr>
        <w:t>Terms and Conditions of Appointment of Independent Directors</w:t>
      </w:r>
    </w:p>
    <w:p w:rsidR="007901D0" w:rsidRDefault="007901D0" w:rsidP="007901D0">
      <w:pPr>
        <w:autoSpaceDE w:val="0"/>
        <w:autoSpaceDN w:val="0"/>
        <w:adjustRightInd w:val="0"/>
        <w:spacing w:after="0" w:line="240" w:lineRule="auto"/>
        <w:rPr>
          <w:b/>
          <w:bCs/>
          <w:sz w:val="36"/>
          <w:szCs w:val="36"/>
        </w:rPr>
      </w:pPr>
      <w:r>
        <w:rPr>
          <w:b/>
          <w:bCs/>
          <w:noProof/>
          <w:sz w:val="36"/>
          <w:szCs w:val="36"/>
        </w:rPr>
        <w:drawing>
          <wp:anchor distT="0" distB="0" distL="114300" distR="114300" simplePos="0" relativeHeight="251659264" behindDoc="1" locked="0" layoutInCell="1" allowOverlap="1">
            <wp:simplePos x="0" y="0"/>
            <wp:positionH relativeFrom="page">
              <wp:posOffset>3181350</wp:posOffset>
            </wp:positionH>
            <wp:positionV relativeFrom="page">
              <wp:posOffset>4400550</wp:posOffset>
            </wp:positionV>
            <wp:extent cx="1323975" cy="16764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23975" cy="1676400"/>
                    </a:xfrm>
                    <a:prstGeom prst="rect">
                      <a:avLst/>
                    </a:prstGeom>
                    <a:gradFill rotWithShape="1">
                      <a:gsLst>
                        <a:gs pos="0">
                          <a:srgbClr val="00B050"/>
                        </a:gs>
                        <a:gs pos="100000">
                          <a:srgbClr val="00B050">
                            <a:gamma/>
                            <a:shade val="46275"/>
                            <a:invGamma/>
                          </a:srgbClr>
                        </a:gs>
                      </a:gsLst>
                      <a:lin ang="5400000" scaled="1"/>
                    </a:gradFill>
                    <a:ln w="9525">
                      <a:noFill/>
                      <a:miter lim="800000"/>
                      <a:headEnd/>
                      <a:tailEnd/>
                    </a:ln>
                  </pic:spPr>
                </pic:pic>
              </a:graphicData>
            </a:graphic>
          </wp:anchor>
        </w:drawing>
      </w:r>
    </w:p>
    <w:p w:rsidR="007901D0" w:rsidRDefault="007901D0" w:rsidP="007901D0">
      <w:pPr>
        <w:autoSpaceDE w:val="0"/>
        <w:autoSpaceDN w:val="0"/>
        <w:adjustRightInd w:val="0"/>
        <w:spacing w:after="0" w:line="240" w:lineRule="auto"/>
        <w:rPr>
          <w:b/>
          <w:bCs/>
          <w:sz w:val="36"/>
          <w:szCs w:val="36"/>
        </w:rPr>
      </w:pPr>
    </w:p>
    <w:p w:rsidR="007901D0" w:rsidRDefault="007901D0" w:rsidP="007901D0">
      <w:pPr>
        <w:autoSpaceDE w:val="0"/>
        <w:autoSpaceDN w:val="0"/>
        <w:adjustRightInd w:val="0"/>
        <w:spacing w:after="0" w:line="240" w:lineRule="auto"/>
        <w:jc w:val="center"/>
        <w:rPr>
          <w:b/>
          <w:bCs/>
          <w:sz w:val="36"/>
          <w:szCs w:val="36"/>
        </w:rPr>
      </w:pPr>
    </w:p>
    <w:p w:rsidR="007901D0" w:rsidRDefault="007901D0" w:rsidP="007901D0">
      <w:pPr>
        <w:autoSpaceDE w:val="0"/>
        <w:autoSpaceDN w:val="0"/>
        <w:adjustRightInd w:val="0"/>
        <w:spacing w:after="0" w:line="240" w:lineRule="auto"/>
        <w:jc w:val="center"/>
        <w:rPr>
          <w:b/>
          <w:bCs/>
          <w:sz w:val="36"/>
          <w:szCs w:val="36"/>
        </w:rPr>
      </w:pPr>
    </w:p>
    <w:p w:rsidR="007901D0" w:rsidRDefault="007901D0" w:rsidP="007901D0">
      <w:pPr>
        <w:autoSpaceDE w:val="0"/>
        <w:autoSpaceDN w:val="0"/>
        <w:adjustRightInd w:val="0"/>
        <w:spacing w:after="0" w:line="240" w:lineRule="auto"/>
        <w:jc w:val="center"/>
        <w:rPr>
          <w:b/>
          <w:bCs/>
          <w:sz w:val="36"/>
          <w:szCs w:val="36"/>
        </w:rPr>
      </w:pPr>
    </w:p>
    <w:p w:rsidR="007901D0" w:rsidRDefault="007901D0" w:rsidP="007901D0">
      <w:pPr>
        <w:autoSpaceDE w:val="0"/>
        <w:autoSpaceDN w:val="0"/>
        <w:adjustRightInd w:val="0"/>
        <w:spacing w:after="0" w:line="240" w:lineRule="auto"/>
        <w:jc w:val="center"/>
        <w:rPr>
          <w:b/>
          <w:bCs/>
          <w:sz w:val="36"/>
          <w:szCs w:val="36"/>
        </w:rPr>
      </w:pPr>
    </w:p>
    <w:p w:rsidR="007901D0" w:rsidRDefault="007901D0" w:rsidP="007901D0">
      <w:pPr>
        <w:autoSpaceDE w:val="0"/>
        <w:autoSpaceDN w:val="0"/>
        <w:adjustRightInd w:val="0"/>
        <w:spacing w:after="0" w:line="240" w:lineRule="auto"/>
        <w:jc w:val="center"/>
        <w:rPr>
          <w:b/>
          <w:bCs/>
          <w:i/>
          <w:iCs/>
          <w:sz w:val="48"/>
          <w:szCs w:val="48"/>
        </w:rPr>
      </w:pPr>
    </w:p>
    <w:p w:rsidR="007901D0" w:rsidRDefault="007901D0" w:rsidP="007901D0">
      <w:pPr>
        <w:autoSpaceDE w:val="0"/>
        <w:autoSpaceDN w:val="0"/>
        <w:adjustRightInd w:val="0"/>
        <w:spacing w:after="0" w:line="240" w:lineRule="auto"/>
        <w:jc w:val="center"/>
        <w:rPr>
          <w:b/>
          <w:bCs/>
          <w:i/>
          <w:iCs/>
          <w:sz w:val="48"/>
          <w:szCs w:val="48"/>
        </w:rPr>
      </w:pPr>
      <w:proofErr w:type="spellStart"/>
      <w:r w:rsidRPr="000E38E4">
        <w:rPr>
          <w:b/>
          <w:bCs/>
          <w:i/>
          <w:iCs/>
          <w:sz w:val="48"/>
          <w:szCs w:val="48"/>
        </w:rPr>
        <w:t>Phyto</w:t>
      </w:r>
      <w:proofErr w:type="spellEnd"/>
      <w:r w:rsidRPr="000E38E4">
        <w:rPr>
          <w:b/>
          <w:bCs/>
          <w:i/>
          <w:iCs/>
          <w:sz w:val="48"/>
          <w:szCs w:val="48"/>
        </w:rPr>
        <w:t xml:space="preserve"> </w:t>
      </w:r>
      <w:proofErr w:type="spellStart"/>
      <w:r w:rsidRPr="000E38E4">
        <w:rPr>
          <w:b/>
          <w:bCs/>
          <w:i/>
          <w:iCs/>
          <w:sz w:val="48"/>
          <w:szCs w:val="48"/>
        </w:rPr>
        <w:t>Chem</w:t>
      </w:r>
      <w:proofErr w:type="spellEnd"/>
      <w:r w:rsidRPr="000E38E4">
        <w:rPr>
          <w:b/>
          <w:bCs/>
          <w:i/>
          <w:iCs/>
          <w:sz w:val="48"/>
          <w:szCs w:val="48"/>
        </w:rPr>
        <w:t xml:space="preserve"> (India) Limited</w:t>
      </w:r>
    </w:p>
    <w:p w:rsidR="007901D0" w:rsidRPr="0081696D" w:rsidRDefault="007901D0" w:rsidP="007901D0">
      <w:pPr>
        <w:autoSpaceDE w:val="0"/>
        <w:autoSpaceDN w:val="0"/>
        <w:adjustRightInd w:val="0"/>
        <w:spacing w:after="0" w:line="240" w:lineRule="auto"/>
        <w:jc w:val="center"/>
        <w:rPr>
          <w:b/>
          <w:bCs/>
          <w:i/>
          <w:iCs/>
          <w:sz w:val="48"/>
          <w:szCs w:val="48"/>
        </w:rPr>
      </w:pPr>
      <w:r w:rsidRPr="001806D2">
        <w:rPr>
          <w:b/>
          <w:bCs/>
          <w:sz w:val="26"/>
          <w:szCs w:val="26"/>
        </w:rPr>
        <w:t>CIN: L24110TG1989PLC009500</w:t>
      </w:r>
    </w:p>
    <w:p w:rsidR="007901D0" w:rsidRPr="001806D2" w:rsidRDefault="007901D0" w:rsidP="007901D0">
      <w:pPr>
        <w:autoSpaceDE w:val="0"/>
        <w:autoSpaceDN w:val="0"/>
        <w:adjustRightInd w:val="0"/>
        <w:spacing w:after="0" w:line="240" w:lineRule="auto"/>
        <w:jc w:val="center"/>
        <w:rPr>
          <w:b/>
          <w:bCs/>
          <w:sz w:val="36"/>
          <w:szCs w:val="36"/>
        </w:rPr>
      </w:pPr>
      <w:r w:rsidRPr="001806D2">
        <w:rPr>
          <w:b/>
          <w:bCs/>
          <w:sz w:val="26"/>
          <w:szCs w:val="26"/>
        </w:rPr>
        <w:t>Registered Office: Survey No.628, Temple Street,</w:t>
      </w:r>
    </w:p>
    <w:p w:rsidR="007901D0" w:rsidRPr="001806D2" w:rsidRDefault="007901D0" w:rsidP="007901D0">
      <w:pPr>
        <w:autoSpaceDE w:val="0"/>
        <w:autoSpaceDN w:val="0"/>
        <w:adjustRightInd w:val="0"/>
        <w:spacing w:after="0" w:line="240" w:lineRule="auto"/>
        <w:jc w:val="center"/>
        <w:rPr>
          <w:b/>
          <w:bCs/>
          <w:sz w:val="26"/>
          <w:szCs w:val="26"/>
        </w:rPr>
      </w:pPr>
      <w:r w:rsidRPr="001806D2">
        <w:rPr>
          <w:b/>
          <w:bCs/>
          <w:sz w:val="26"/>
          <w:szCs w:val="26"/>
        </w:rPr>
        <w:t xml:space="preserve">Bonthapally-502 313, </w:t>
      </w:r>
      <w:proofErr w:type="spellStart"/>
      <w:r w:rsidRPr="001806D2">
        <w:rPr>
          <w:b/>
          <w:bCs/>
          <w:sz w:val="26"/>
          <w:szCs w:val="26"/>
        </w:rPr>
        <w:t>Jinnaram</w:t>
      </w:r>
      <w:proofErr w:type="spellEnd"/>
      <w:r w:rsidRPr="001806D2">
        <w:rPr>
          <w:b/>
          <w:bCs/>
          <w:sz w:val="26"/>
          <w:szCs w:val="26"/>
        </w:rPr>
        <w:t xml:space="preserve"> </w:t>
      </w:r>
      <w:proofErr w:type="spellStart"/>
      <w:r w:rsidRPr="001806D2">
        <w:rPr>
          <w:b/>
          <w:bCs/>
          <w:sz w:val="26"/>
          <w:szCs w:val="26"/>
        </w:rPr>
        <w:t>Mandal</w:t>
      </w:r>
      <w:proofErr w:type="spellEnd"/>
      <w:r w:rsidRPr="001806D2">
        <w:rPr>
          <w:b/>
          <w:bCs/>
          <w:sz w:val="26"/>
          <w:szCs w:val="26"/>
        </w:rPr>
        <w:t>,</w:t>
      </w:r>
    </w:p>
    <w:p w:rsidR="007901D0" w:rsidRPr="001806D2" w:rsidRDefault="007901D0" w:rsidP="007901D0">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Medak</w:t>
      </w:r>
      <w:proofErr w:type="spellEnd"/>
      <w:r w:rsidRPr="001806D2">
        <w:rPr>
          <w:b/>
          <w:bCs/>
          <w:sz w:val="26"/>
          <w:szCs w:val="26"/>
        </w:rPr>
        <w:t xml:space="preserve"> District, Telangana State.</w:t>
      </w:r>
      <w:proofErr w:type="gramEnd"/>
    </w:p>
    <w:p w:rsidR="007901D0" w:rsidRDefault="007901D0" w:rsidP="007901D0">
      <w:pPr>
        <w:autoSpaceDE w:val="0"/>
        <w:autoSpaceDN w:val="0"/>
        <w:adjustRightInd w:val="0"/>
        <w:spacing w:after="0" w:line="240" w:lineRule="auto"/>
        <w:jc w:val="center"/>
        <w:rPr>
          <w:b/>
          <w:bCs/>
          <w:sz w:val="26"/>
          <w:szCs w:val="26"/>
        </w:rPr>
      </w:pPr>
      <w:r w:rsidRPr="001806D2">
        <w:rPr>
          <w:b/>
          <w:bCs/>
          <w:sz w:val="26"/>
          <w:szCs w:val="26"/>
        </w:rPr>
        <w:t xml:space="preserve">Corporate office:  8-3-229/23, First Floor, </w:t>
      </w:r>
      <w:proofErr w:type="spellStart"/>
      <w:r w:rsidRPr="001806D2">
        <w:rPr>
          <w:b/>
          <w:bCs/>
          <w:sz w:val="26"/>
          <w:szCs w:val="26"/>
        </w:rPr>
        <w:t>Thaherville</w:t>
      </w:r>
      <w:proofErr w:type="spellEnd"/>
      <w:r w:rsidRPr="001806D2">
        <w:rPr>
          <w:b/>
          <w:bCs/>
          <w:sz w:val="26"/>
          <w:szCs w:val="26"/>
        </w:rPr>
        <w:t>,</w:t>
      </w:r>
    </w:p>
    <w:p w:rsidR="007901D0" w:rsidRPr="001806D2" w:rsidRDefault="007901D0" w:rsidP="007901D0">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Yousufguda</w:t>
      </w:r>
      <w:proofErr w:type="spellEnd"/>
      <w:r w:rsidRPr="001806D2">
        <w:rPr>
          <w:b/>
          <w:bCs/>
          <w:sz w:val="26"/>
          <w:szCs w:val="26"/>
        </w:rPr>
        <w:t xml:space="preserve"> </w:t>
      </w:r>
      <w:proofErr w:type="spellStart"/>
      <w:r w:rsidRPr="001806D2">
        <w:rPr>
          <w:b/>
          <w:bCs/>
          <w:sz w:val="26"/>
          <w:szCs w:val="26"/>
        </w:rPr>
        <w:t>Checkpost</w:t>
      </w:r>
      <w:proofErr w:type="spellEnd"/>
      <w:r w:rsidRPr="001806D2">
        <w:rPr>
          <w:b/>
          <w:bCs/>
          <w:sz w:val="26"/>
          <w:szCs w:val="26"/>
        </w:rPr>
        <w:t>, Hyderabad – 500 045</w:t>
      </w:r>
      <w:r>
        <w:rPr>
          <w:b/>
          <w:bCs/>
          <w:sz w:val="26"/>
          <w:szCs w:val="26"/>
        </w:rPr>
        <w:t>.</w:t>
      </w:r>
      <w:proofErr w:type="gramEnd"/>
    </w:p>
    <w:p w:rsidR="007901D0" w:rsidRDefault="007901D0" w:rsidP="007901D0">
      <w:pPr>
        <w:autoSpaceDE w:val="0"/>
        <w:autoSpaceDN w:val="0"/>
        <w:adjustRightInd w:val="0"/>
        <w:spacing w:after="0" w:line="240" w:lineRule="auto"/>
        <w:jc w:val="center"/>
        <w:rPr>
          <w:b/>
          <w:bCs/>
          <w:sz w:val="28"/>
          <w:szCs w:val="28"/>
        </w:rPr>
      </w:pPr>
    </w:p>
    <w:p w:rsidR="007901D0" w:rsidRPr="00F3644F" w:rsidRDefault="007901D0" w:rsidP="007901D0">
      <w:pPr>
        <w:autoSpaceDE w:val="0"/>
        <w:autoSpaceDN w:val="0"/>
        <w:adjustRightInd w:val="0"/>
        <w:spacing w:after="0" w:line="240" w:lineRule="auto"/>
        <w:jc w:val="center"/>
        <w:rPr>
          <w:b/>
          <w:bCs/>
          <w:sz w:val="28"/>
          <w:szCs w:val="28"/>
        </w:rPr>
      </w:pPr>
      <w:r w:rsidRPr="00F3644F">
        <w:rPr>
          <w:b/>
          <w:bCs/>
          <w:sz w:val="28"/>
          <w:szCs w:val="28"/>
        </w:rPr>
        <w:t>Tel:  +91-40-23557712</w:t>
      </w:r>
      <w:r>
        <w:rPr>
          <w:b/>
          <w:bCs/>
          <w:sz w:val="28"/>
          <w:szCs w:val="28"/>
        </w:rPr>
        <w:t xml:space="preserve">, </w:t>
      </w:r>
      <w:r w:rsidRPr="00F3644F">
        <w:rPr>
          <w:b/>
          <w:bCs/>
          <w:sz w:val="28"/>
          <w:szCs w:val="28"/>
        </w:rPr>
        <w:t>23557713</w:t>
      </w:r>
      <w:r>
        <w:rPr>
          <w:b/>
          <w:bCs/>
          <w:sz w:val="28"/>
          <w:szCs w:val="28"/>
        </w:rPr>
        <w:t xml:space="preserve">, </w:t>
      </w:r>
      <w:r w:rsidRPr="00F3644F">
        <w:rPr>
          <w:b/>
          <w:bCs/>
          <w:sz w:val="28"/>
          <w:szCs w:val="28"/>
        </w:rPr>
        <w:t>Fax: +91-40-23557714</w:t>
      </w:r>
    </w:p>
    <w:p w:rsidR="007901D0" w:rsidRPr="00F3644F" w:rsidRDefault="007901D0" w:rsidP="007901D0">
      <w:pPr>
        <w:autoSpaceDE w:val="0"/>
        <w:autoSpaceDN w:val="0"/>
        <w:adjustRightInd w:val="0"/>
        <w:spacing w:after="0" w:line="240" w:lineRule="auto"/>
        <w:jc w:val="center"/>
        <w:rPr>
          <w:b/>
          <w:bCs/>
          <w:sz w:val="28"/>
          <w:szCs w:val="28"/>
        </w:rPr>
      </w:pPr>
      <w:r w:rsidRPr="00F3644F">
        <w:rPr>
          <w:b/>
          <w:bCs/>
          <w:sz w:val="28"/>
          <w:szCs w:val="28"/>
        </w:rPr>
        <w:t xml:space="preserve">Website: </w:t>
      </w:r>
      <w:hyperlink r:id="rId10" w:tgtFrame="_blank" w:history="1">
        <w:r w:rsidRPr="00F3644F">
          <w:rPr>
            <w:rStyle w:val="Hyperlink"/>
            <w:b/>
            <w:bCs/>
            <w:sz w:val="28"/>
            <w:szCs w:val="28"/>
          </w:rPr>
          <w:t>www.phytochemindia.com</w:t>
        </w:r>
      </w:hyperlink>
    </w:p>
    <w:p w:rsidR="007901D0" w:rsidRDefault="007901D0" w:rsidP="007901D0">
      <w:pPr>
        <w:autoSpaceDE w:val="0"/>
        <w:autoSpaceDN w:val="0"/>
        <w:adjustRightInd w:val="0"/>
        <w:spacing w:after="0" w:line="240" w:lineRule="auto"/>
        <w:jc w:val="center"/>
      </w:pPr>
      <w:r w:rsidRPr="00F3644F">
        <w:rPr>
          <w:b/>
          <w:bCs/>
          <w:sz w:val="28"/>
          <w:szCs w:val="28"/>
        </w:rPr>
        <w:t xml:space="preserve">Email: </w:t>
      </w:r>
      <w:hyperlink r:id="rId11" w:history="1">
        <w:r w:rsidRPr="00F3644F">
          <w:rPr>
            <w:rStyle w:val="Hyperlink"/>
            <w:b/>
            <w:bCs/>
            <w:sz w:val="28"/>
            <w:szCs w:val="28"/>
          </w:rPr>
          <w:t>phytochem@phytochemindia.com</w:t>
        </w:r>
      </w:hyperlink>
    </w:p>
    <w:p w:rsidR="007901D0" w:rsidRDefault="00667028" w:rsidP="007901D0">
      <w:pPr>
        <w:autoSpaceDE w:val="0"/>
        <w:autoSpaceDN w:val="0"/>
        <w:adjustRightInd w:val="0"/>
        <w:spacing w:after="0" w:line="240" w:lineRule="auto"/>
        <w:jc w:val="center"/>
      </w:pPr>
      <w:hyperlink r:id="rId12" w:history="1">
        <w:r w:rsidR="007901D0" w:rsidRPr="00BD2D28">
          <w:rPr>
            <w:rStyle w:val="Hyperlink"/>
            <w:b/>
            <w:bCs/>
            <w:sz w:val="28"/>
            <w:szCs w:val="28"/>
          </w:rPr>
          <w:t>info@phytochemindia.com</w:t>
        </w:r>
      </w:hyperlink>
    </w:p>
    <w:p w:rsidR="007901D0" w:rsidRPr="003F5CD9" w:rsidRDefault="007901D0" w:rsidP="007901D0">
      <w:pPr>
        <w:autoSpaceDE w:val="0"/>
        <w:autoSpaceDN w:val="0"/>
        <w:adjustRightInd w:val="0"/>
        <w:spacing w:after="0" w:line="240" w:lineRule="auto"/>
        <w:jc w:val="center"/>
      </w:pPr>
    </w:p>
    <w:p w:rsidR="005B4343" w:rsidRPr="002518FB" w:rsidRDefault="005B4343" w:rsidP="005B4343">
      <w:pPr>
        <w:tabs>
          <w:tab w:val="left" w:pos="6195"/>
          <w:tab w:val="left" w:pos="7875"/>
        </w:tabs>
        <w:jc w:val="center"/>
        <w:rPr>
          <w:rFonts w:cs="Arial"/>
          <w:b/>
          <w:bCs/>
          <w:i/>
          <w:iCs/>
          <w:sz w:val="28"/>
          <w:szCs w:val="28"/>
        </w:rPr>
      </w:pPr>
      <w:proofErr w:type="spellStart"/>
      <w:r w:rsidRPr="002518FB">
        <w:rPr>
          <w:rFonts w:cs="Arial"/>
          <w:b/>
          <w:bCs/>
          <w:i/>
          <w:iCs/>
          <w:sz w:val="28"/>
          <w:szCs w:val="28"/>
        </w:rPr>
        <w:lastRenderedPageBreak/>
        <w:t>Phyto</w:t>
      </w:r>
      <w:proofErr w:type="spellEnd"/>
      <w:r w:rsidRPr="002518FB">
        <w:rPr>
          <w:rFonts w:cs="Arial"/>
          <w:b/>
          <w:bCs/>
          <w:i/>
          <w:iCs/>
          <w:sz w:val="28"/>
          <w:szCs w:val="28"/>
        </w:rPr>
        <w:t xml:space="preserve"> </w:t>
      </w:r>
      <w:proofErr w:type="spellStart"/>
      <w:r w:rsidRPr="002518FB">
        <w:rPr>
          <w:rFonts w:cs="Arial"/>
          <w:b/>
          <w:bCs/>
          <w:i/>
          <w:iCs/>
          <w:sz w:val="28"/>
          <w:szCs w:val="28"/>
        </w:rPr>
        <w:t>Chem</w:t>
      </w:r>
      <w:proofErr w:type="spellEnd"/>
      <w:r w:rsidRPr="002518FB">
        <w:rPr>
          <w:rFonts w:cs="Arial"/>
          <w:b/>
          <w:bCs/>
          <w:i/>
          <w:iCs/>
          <w:sz w:val="28"/>
          <w:szCs w:val="28"/>
        </w:rPr>
        <w:t xml:space="preserve"> (India) Limited</w:t>
      </w:r>
    </w:p>
    <w:p w:rsidR="005B4343" w:rsidRPr="0081696D" w:rsidRDefault="005B4343" w:rsidP="005B4343">
      <w:pPr>
        <w:pStyle w:val="NormalWeb"/>
        <w:shd w:val="clear" w:color="auto" w:fill="FFFFFF"/>
        <w:spacing w:before="0" w:beforeAutospacing="0" w:after="0"/>
        <w:jc w:val="center"/>
        <w:rPr>
          <w:rFonts w:ascii="Arial" w:hAnsi="Arial" w:cs="Arial"/>
          <w:sz w:val="26"/>
          <w:szCs w:val="26"/>
        </w:rPr>
      </w:pPr>
      <w:r w:rsidRPr="0081696D">
        <w:rPr>
          <w:rFonts w:ascii="Arial" w:hAnsi="Arial" w:cs="Arial"/>
          <w:sz w:val="26"/>
          <w:szCs w:val="26"/>
        </w:rPr>
        <w:t>*</w:t>
      </w:r>
      <w:r>
        <w:rPr>
          <w:rFonts w:ascii="Arial" w:hAnsi="Arial" w:cs="Arial"/>
          <w:sz w:val="26"/>
          <w:szCs w:val="26"/>
        </w:rPr>
        <w:t xml:space="preserve"> * *</w:t>
      </w:r>
    </w:p>
    <w:p w:rsidR="00091F23" w:rsidRPr="006036A5" w:rsidRDefault="002E7AAC" w:rsidP="001B6B97">
      <w:pPr>
        <w:pStyle w:val="NormalWeb"/>
        <w:shd w:val="clear" w:color="auto" w:fill="DEEAF6" w:themeFill="accent1" w:themeFillTint="33"/>
        <w:spacing w:before="0" w:beforeAutospacing="0" w:after="0"/>
        <w:jc w:val="center"/>
        <w:rPr>
          <w:rFonts w:ascii="Arial" w:hAnsi="Arial" w:cs="Arial"/>
          <w:b/>
          <w:bCs/>
          <w:i/>
          <w:sz w:val="28"/>
          <w:szCs w:val="28"/>
          <w:u w:val="single"/>
        </w:rPr>
      </w:pPr>
      <w:r w:rsidRPr="006036A5">
        <w:rPr>
          <w:rFonts w:ascii="Arial" w:hAnsi="Arial" w:cs="Arial"/>
          <w:b/>
          <w:bCs/>
          <w:i/>
          <w:sz w:val="28"/>
          <w:szCs w:val="28"/>
          <w:u w:val="single"/>
        </w:rPr>
        <w:t>Terms and Conditions of Appointment of Independent Directors</w:t>
      </w:r>
    </w:p>
    <w:p w:rsidR="00091F23" w:rsidRPr="006036A5" w:rsidRDefault="00091F23" w:rsidP="001B6B97">
      <w:pPr>
        <w:pStyle w:val="NormalWeb"/>
        <w:shd w:val="clear" w:color="auto" w:fill="DEEAF6" w:themeFill="accent1" w:themeFillTint="33"/>
        <w:spacing w:before="0" w:beforeAutospacing="0" w:after="0"/>
        <w:jc w:val="center"/>
        <w:rPr>
          <w:rFonts w:ascii="Arial" w:hAnsi="Arial" w:cs="Arial"/>
          <w:i/>
          <w:sz w:val="28"/>
          <w:szCs w:val="28"/>
          <w:u w:val="single"/>
        </w:rPr>
      </w:pPr>
      <w:r w:rsidRPr="006036A5">
        <w:rPr>
          <w:rFonts w:ascii="Arial" w:hAnsi="Arial" w:cs="Arial"/>
          <w:b/>
          <w:bCs/>
          <w:i/>
          <w:sz w:val="28"/>
          <w:szCs w:val="28"/>
          <w:u w:val="single"/>
        </w:rPr>
        <w:t>(Pursuant to</w:t>
      </w:r>
      <w:r w:rsidR="002E7AAC" w:rsidRPr="006036A5">
        <w:rPr>
          <w:rFonts w:ascii="Arial" w:hAnsi="Arial" w:cs="Arial"/>
          <w:b/>
          <w:bCs/>
          <w:i/>
          <w:sz w:val="28"/>
          <w:szCs w:val="28"/>
          <w:u w:val="single"/>
        </w:rPr>
        <w:t xml:space="preserve"> the provisions of Schedule IV</w:t>
      </w:r>
      <w:r w:rsidR="005B2A48" w:rsidRPr="006036A5">
        <w:rPr>
          <w:rFonts w:ascii="Arial" w:hAnsi="Arial" w:cs="Arial"/>
          <w:b/>
          <w:bCs/>
          <w:i/>
          <w:sz w:val="28"/>
          <w:szCs w:val="28"/>
          <w:u w:val="single"/>
        </w:rPr>
        <w:t xml:space="preserve"> of the Compa</w:t>
      </w:r>
      <w:r w:rsidR="006036A5">
        <w:rPr>
          <w:rFonts w:ascii="Arial" w:hAnsi="Arial" w:cs="Arial"/>
          <w:b/>
          <w:bCs/>
          <w:i/>
          <w:sz w:val="28"/>
          <w:szCs w:val="28"/>
          <w:u w:val="single"/>
        </w:rPr>
        <w:t>nies Act, 2013 and</w:t>
      </w:r>
      <w:r w:rsidR="005B2A48" w:rsidRPr="006036A5">
        <w:rPr>
          <w:rFonts w:ascii="Arial" w:hAnsi="Arial" w:cs="Arial"/>
          <w:b/>
          <w:bCs/>
          <w:i/>
          <w:sz w:val="28"/>
          <w:szCs w:val="28"/>
          <w:u w:val="single"/>
        </w:rPr>
        <w:t xml:space="preserve"> </w:t>
      </w:r>
      <w:r w:rsidR="002518FB">
        <w:rPr>
          <w:rFonts w:ascii="Arial" w:hAnsi="Arial" w:cs="Arial"/>
          <w:b/>
          <w:bCs/>
          <w:i/>
          <w:sz w:val="28"/>
          <w:szCs w:val="28"/>
          <w:u w:val="single"/>
        </w:rPr>
        <w:t xml:space="preserve">Regulation 17 and 25 of </w:t>
      </w:r>
      <w:proofErr w:type="gramStart"/>
      <w:r w:rsidR="002518FB">
        <w:rPr>
          <w:rFonts w:ascii="Arial" w:hAnsi="Arial" w:cs="Arial"/>
          <w:b/>
          <w:bCs/>
          <w:i/>
          <w:sz w:val="28"/>
          <w:szCs w:val="28"/>
          <w:u w:val="single"/>
        </w:rPr>
        <w:t>the  SEBI</w:t>
      </w:r>
      <w:proofErr w:type="gramEnd"/>
      <w:r w:rsidR="002518FB">
        <w:rPr>
          <w:rFonts w:ascii="Arial" w:hAnsi="Arial" w:cs="Arial"/>
          <w:b/>
          <w:bCs/>
          <w:i/>
          <w:sz w:val="28"/>
          <w:szCs w:val="28"/>
          <w:u w:val="single"/>
        </w:rPr>
        <w:t>( Listing Obligations and Disclosure Requirements Regulations, 2015</w:t>
      </w:r>
      <w:r w:rsidRPr="006036A5">
        <w:rPr>
          <w:rFonts w:ascii="Arial" w:hAnsi="Arial" w:cs="Arial"/>
          <w:b/>
          <w:bCs/>
          <w:i/>
          <w:sz w:val="28"/>
          <w:szCs w:val="28"/>
          <w:u w:val="single"/>
        </w:rPr>
        <w:t>)</w:t>
      </w:r>
    </w:p>
    <w:p w:rsidR="00091F23" w:rsidRPr="00DC3C25" w:rsidRDefault="00091F23" w:rsidP="00091F23">
      <w:pPr>
        <w:pStyle w:val="NormalWeb"/>
        <w:spacing w:before="0" w:beforeAutospacing="0" w:after="0"/>
        <w:rPr>
          <w:rFonts w:asciiTheme="minorHAnsi" w:hAnsiTheme="minorHAnsi" w:cstheme="minorHAnsi"/>
        </w:rPr>
      </w:pPr>
    </w:p>
    <w:p w:rsidR="002518FB" w:rsidRDefault="002518FB" w:rsidP="002518FB">
      <w:pPr>
        <w:pStyle w:val="NormalWeb"/>
        <w:spacing w:before="0" w:beforeAutospacing="0" w:after="0"/>
        <w:jc w:val="center"/>
        <w:rPr>
          <w:rFonts w:asciiTheme="minorHAnsi" w:hAnsiTheme="minorHAnsi" w:cstheme="minorHAnsi"/>
          <w:b/>
          <w:color w:val="000000"/>
        </w:rPr>
      </w:pPr>
      <w:r w:rsidRPr="002518FB">
        <w:rPr>
          <w:rFonts w:asciiTheme="minorHAnsi" w:hAnsiTheme="minorHAnsi" w:cstheme="minorHAnsi"/>
          <w:b/>
          <w:color w:val="000000"/>
        </w:rPr>
        <w:t xml:space="preserve">AMENDED ON </w:t>
      </w:r>
      <w:r w:rsidR="00F833F5">
        <w:rPr>
          <w:rFonts w:asciiTheme="minorHAnsi" w:hAnsiTheme="minorHAnsi" w:cstheme="minorHAnsi"/>
          <w:b/>
          <w:color w:val="000000"/>
        </w:rPr>
        <w:t>13</w:t>
      </w:r>
      <w:r w:rsidR="00F833F5" w:rsidRPr="00F833F5">
        <w:rPr>
          <w:rFonts w:asciiTheme="minorHAnsi" w:hAnsiTheme="minorHAnsi" w:cstheme="minorHAnsi"/>
          <w:b/>
          <w:color w:val="000000"/>
          <w:vertAlign w:val="superscript"/>
        </w:rPr>
        <w:t>TH</w:t>
      </w:r>
      <w:r w:rsidR="00F833F5">
        <w:rPr>
          <w:rFonts w:asciiTheme="minorHAnsi" w:hAnsiTheme="minorHAnsi" w:cstheme="minorHAnsi"/>
          <w:b/>
          <w:color w:val="000000"/>
        </w:rPr>
        <w:t xml:space="preserve"> AUGUST,</w:t>
      </w:r>
      <w:r w:rsidRPr="002518FB">
        <w:rPr>
          <w:rFonts w:asciiTheme="minorHAnsi" w:hAnsiTheme="minorHAnsi" w:cstheme="minorHAnsi"/>
          <w:b/>
          <w:color w:val="000000"/>
        </w:rPr>
        <w:t xml:space="preserve"> 2016</w:t>
      </w:r>
    </w:p>
    <w:p w:rsidR="002518FB" w:rsidRPr="002518FB" w:rsidRDefault="002518FB" w:rsidP="002518FB">
      <w:pPr>
        <w:pStyle w:val="NormalWeb"/>
        <w:spacing w:before="0" w:beforeAutospacing="0" w:after="0"/>
        <w:jc w:val="center"/>
        <w:rPr>
          <w:rFonts w:asciiTheme="minorHAnsi" w:hAnsiTheme="minorHAnsi" w:cstheme="minorHAnsi"/>
          <w:b/>
          <w:color w:val="000000"/>
        </w:rPr>
      </w:pPr>
    </w:p>
    <w:p w:rsidR="004B6A11" w:rsidRPr="00DC3C25" w:rsidRDefault="004B6A11" w:rsidP="004B6A11">
      <w:pPr>
        <w:pStyle w:val="NormalWeb"/>
        <w:spacing w:before="0" w:beforeAutospacing="0" w:after="0"/>
        <w:jc w:val="both"/>
        <w:rPr>
          <w:rFonts w:asciiTheme="minorHAnsi" w:hAnsiTheme="minorHAnsi" w:cstheme="minorHAnsi"/>
        </w:rPr>
      </w:pPr>
      <w:r w:rsidRPr="00DC3C25">
        <w:rPr>
          <w:rFonts w:asciiTheme="minorHAnsi" w:hAnsiTheme="minorHAnsi" w:cstheme="minorHAnsi"/>
          <w:color w:val="000000"/>
        </w:rPr>
        <w:t xml:space="preserve">The broad terms and conditions of appointment of Independent Directors are as under: </w:t>
      </w:r>
    </w:p>
    <w:p w:rsidR="004B6A11" w:rsidRPr="00DC3C25" w:rsidRDefault="004B6A11" w:rsidP="004B6A11">
      <w:pPr>
        <w:pStyle w:val="NormalWeb"/>
        <w:spacing w:before="0" w:beforeAutospacing="0" w:after="0"/>
        <w:jc w:val="both"/>
        <w:rPr>
          <w:rFonts w:asciiTheme="minorHAnsi" w:hAnsiTheme="minorHAnsi" w:cstheme="minorHAnsi"/>
        </w:rPr>
      </w:pPr>
    </w:p>
    <w:p w:rsidR="004B6A11" w:rsidRPr="004F2DEB" w:rsidRDefault="004B6A11" w:rsidP="004B6A11">
      <w:pPr>
        <w:pStyle w:val="NormalWeb"/>
        <w:numPr>
          <w:ilvl w:val="0"/>
          <w:numId w:val="17"/>
        </w:numPr>
        <w:spacing w:before="0" w:beforeAutospacing="0" w:after="0"/>
        <w:jc w:val="both"/>
        <w:rPr>
          <w:rFonts w:asciiTheme="minorHAnsi" w:hAnsiTheme="minorHAnsi" w:cstheme="minorHAnsi"/>
          <w:i/>
          <w:sz w:val="26"/>
          <w:szCs w:val="26"/>
        </w:rPr>
      </w:pPr>
      <w:r w:rsidRPr="004F2DEB">
        <w:rPr>
          <w:rFonts w:asciiTheme="minorHAnsi" w:hAnsiTheme="minorHAnsi" w:cstheme="minorHAnsi"/>
          <w:b/>
          <w:bCs/>
          <w:i/>
          <w:color w:val="000000"/>
          <w:sz w:val="26"/>
          <w:szCs w:val="26"/>
          <w:u w:val="single"/>
        </w:rPr>
        <w:t>Appointment:</w:t>
      </w:r>
    </w:p>
    <w:p w:rsidR="004B6A11" w:rsidRPr="00DC3C25" w:rsidRDefault="004B6A11" w:rsidP="004B6A11">
      <w:pPr>
        <w:pStyle w:val="NormalWeb"/>
        <w:spacing w:before="0" w:beforeAutospacing="0" w:after="0"/>
        <w:ind w:left="68"/>
        <w:jc w:val="both"/>
        <w:rPr>
          <w:rFonts w:asciiTheme="minorHAnsi" w:hAnsiTheme="minorHAnsi" w:cstheme="minorHAnsi"/>
        </w:rPr>
      </w:pPr>
    </w:p>
    <w:p w:rsidR="004B6A11" w:rsidRPr="004F2DEB" w:rsidRDefault="004B6A11" w:rsidP="004B6A11">
      <w:pPr>
        <w:pStyle w:val="NormalWeb"/>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 xml:space="preserve">The appointment of the Independent Directors existing as on the date of the Annual General Meeting of the Company held on </w:t>
      </w:r>
      <w:r w:rsidR="00641C47" w:rsidRPr="004F2DEB">
        <w:rPr>
          <w:rFonts w:asciiTheme="minorHAnsi" w:hAnsiTheme="minorHAnsi" w:cstheme="minorHAnsi"/>
          <w:color w:val="000000"/>
          <w:sz w:val="22"/>
          <w:szCs w:val="22"/>
        </w:rPr>
        <w:t>September 29</w:t>
      </w:r>
      <w:r w:rsidRPr="004F2DEB">
        <w:rPr>
          <w:rFonts w:asciiTheme="minorHAnsi" w:hAnsiTheme="minorHAnsi" w:cstheme="minorHAnsi"/>
          <w:color w:val="000000"/>
          <w:sz w:val="22"/>
          <w:szCs w:val="22"/>
        </w:rPr>
        <w:t>, 2014 (AGM), will be</w:t>
      </w:r>
      <w:r w:rsidR="00757E3E" w:rsidRPr="004F2DEB">
        <w:rPr>
          <w:rFonts w:asciiTheme="minorHAnsi" w:hAnsiTheme="minorHAnsi" w:cstheme="minorHAnsi"/>
          <w:color w:val="000000"/>
          <w:sz w:val="22"/>
          <w:szCs w:val="22"/>
        </w:rPr>
        <w:t xml:space="preserve"> for a period of three</w:t>
      </w:r>
      <w:r w:rsidR="00924DF7" w:rsidRPr="004F2DEB">
        <w:rPr>
          <w:rFonts w:asciiTheme="minorHAnsi" w:hAnsiTheme="minorHAnsi" w:cstheme="minorHAnsi"/>
          <w:color w:val="000000"/>
          <w:sz w:val="22"/>
          <w:szCs w:val="22"/>
        </w:rPr>
        <w:t xml:space="preserve"> years commencing from September </w:t>
      </w:r>
      <w:r w:rsidR="00641C47" w:rsidRPr="004F2DEB">
        <w:rPr>
          <w:rFonts w:asciiTheme="minorHAnsi" w:hAnsiTheme="minorHAnsi" w:cstheme="minorHAnsi"/>
          <w:color w:val="000000"/>
          <w:sz w:val="22"/>
          <w:szCs w:val="22"/>
        </w:rPr>
        <w:t>29</w:t>
      </w:r>
      <w:r w:rsidR="00924DF7" w:rsidRPr="004F2DEB">
        <w:rPr>
          <w:rFonts w:asciiTheme="minorHAnsi" w:hAnsiTheme="minorHAnsi" w:cstheme="minorHAnsi"/>
          <w:color w:val="000000"/>
          <w:sz w:val="22"/>
          <w:szCs w:val="22"/>
        </w:rPr>
        <w:t xml:space="preserve">, 2014 </w:t>
      </w:r>
      <w:r w:rsidR="00E57993" w:rsidRPr="004F2DEB">
        <w:rPr>
          <w:rFonts w:asciiTheme="minorHAnsi" w:hAnsiTheme="minorHAnsi" w:cstheme="minorHAnsi"/>
          <w:color w:val="000000"/>
          <w:sz w:val="22"/>
          <w:szCs w:val="22"/>
        </w:rPr>
        <w:t>up to</w:t>
      </w:r>
      <w:r w:rsidR="00924DF7" w:rsidRPr="004F2DEB">
        <w:rPr>
          <w:rFonts w:asciiTheme="minorHAnsi" w:hAnsiTheme="minorHAnsi" w:cstheme="minorHAnsi"/>
          <w:color w:val="000000"/>
          <w:sz w:val="22"/>
          <w:szCs w:val="22"/>
        </w:rPr>
        <w:t xml:space="preserve"> </w:t>
      </w:r>
      <w:r w:rsidR="00641C47" w:rsidRPr="004F2DEB">
        <w:rPr>
          <w:rFonts w:asciiTheme="minorHAnsi" w:hAnsiTheme="minorHAnsi" w:cstheme="minorHAnsi"/>
          <w:color w:val="000000"/>
          <w:sz w:val="22"/>
          <w:szCs w:val="22"/>
        </w:rPr>
        <w:t>September</w:t>
      </w:r>
      <w:r w:rsidR="00924DF7" w:rsidRPr="004F2DEB">
        <w:rPr>
          <w:rFonts w:asciiTheme="minorHAnsi" w:hAnsiTheme="minorHAnsi" w:cstheme="minorHAnsi"/>
          <w:color w:val="000000"/>
          <w:sz w:val="22"/>
          <w:szCs w:val="22"/>
        </w:rPr>
        <w:t xml:space="preserve"> </w:t>
      </w:r>
      <w:r w:rsidR="00641C47" w:rsidRPr="004F2DEB">
        <w:rPr>
          <w:rFonts w:asciiTheme="minorHAnsi" w:hAnsiTheme="minorHAnsi" w:cstheme="minorHAnsi"/>
          <w:color w:val="000000"/>
          <w:sz w:val="22"/>
          <w:szCs w:val="22"/>
        </w:rPr>
        <w:t>28</w:t>
      </w:r>
      <w:r w:rsidR="00757E3E" w:rsidRPr="004F2DEB">
        <w:rPr>
          <w:rFonts w:asciiTheme="minorHAnsi" w:hAnsiTheme="minorHAnsi" w:cstheme="minorHAnsi"/>
          <w:color w:val="000000"/>
          <w:sz w:val="22"/>
          <w:szCs w:val="22"/>
        </w:rPr>
        <w:t>, 2017</w:t>
      </w:r>
      <w:r w:rsidRPr="004F2DEB">
        <w:rPr>
          <w:rFonts w:asciiTheme="minorHAnsi" w:hAnsiTheme="minorHAnsi" w:cstheme="minorHAnsi"/>
          <w:color w:val="000000"/>
          <w:sz w:val="22"/>
          <w:szCs w:val="22"/>
        </w:rPr>
        <w:t xml:space="preserve"> and for the I</w:t>
      </w:r>
      <w:r w:rsidR="00207E73" w:rsidRPr="004F2DEB">
        <w:rPr>
          <w:rFonts w:asciiTheme="minorHAnsi" w:hAnsiTheme="minorHAnsi" w:cstheme="minorHAnsi"/>
          <w:color w:val="000000"/>
          <w:sz w:val="22"/>
          <w:szCs w:val="22"/>
        </w:rPr>
        <w:t>ndependent Directors appointed/</w:t>
      </w:r>
      <w:r w:rsidRPr="004F2DEB">
        <w:rPr>
          <w:rFonts w:asciiTheme="minorHAnsi" w:hAnsiTheme="minorHAnsi" w:cstheme="minorHAnsi"/>
          <w:color w:val="000000"/>
          <w:sz w:val="22"/>
          <w:szCs w:val="22"/>
        </w:rPr>
        <w:t>to be appointed at any time after the aforesaid AGM, their appointment will be for a</w:t>
      </w:r>
      <w:r w:rsidR="00757E3E" w:rsidRPr="004F2DEB">
        <w:rPr>
          <w:rFonts w:asciiTheme="minorHAnsi" w:hAnsiTheme="minorHAnsi" w:cstheme="minorHAnsi"/>
          <w:color w:val="000000"/>
          <w:sz w:val="22"/>
          <w:szCs w:val="22"/>
        </w:rPr>
        <w:t xml:space="preserve"> maximum</w:t>
      </w:r>
      <w:r w:rsidRPr="004F2DEB">
        <w:rPr>
          <w:rFonts w:asciiTheme="minorHAnsi" w:hAnsiTheme="minorHAnsi" w:cstheme="minorHAnsi"/>
          <w:color w:val="000000"/>
          <w:sz w:val="22"/>
          <w:szCs w:val="22"/>
        </w:rPr>
        <w:t xml:space="preserve"> period of five years commencing from the respective date of their appointment by the Board, subject to the approval of the Members at the subsequent Annual General Meeting (“Term”). The Company may disengage Independent Directors prior to completion of their Term, subject to compliance of relevant provisions of the 2013 Act.</w:t>
      </w:r>
    </w:p>
    <w:p w:rsidR="004B6A11" w:rsidRPr="004F2DEB" w:rsidRDefault="004B6A11" w:rsidP="004B6A11">
      <w:pPr>
        <w:pStyle w:val="NormalWeb"/>
        <w:spacing w:before="0" w:beforeAutospacing="0" w:after="0"/>
        <w:jc w:val="both"/>
        <w:rPr>
          <w:rFonts w:asciiTheme="minorHAnsi" w:hAnsiTheme="minorHAnsi" w:cstheme="minorHAnsi"/>
          <w:sz w:val="22"/>
          <w:szCs w:val="22"/>
        </w:rPr>
      </w:pPr>
    </w:p>
    <w:p w:rsidR="004B6A11" w:rsidRPr="004F2DEB" w:rsidRDefault="004B6A11" w:rsidP="004B6A11">
      <w:pPr>
        <w:pStyle w:val="NormalWeb"/>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 xml:space="preserve">Independent Directors will not be liable to retire by rotation. </w:t>
      </w:r>
    </w:p>
    <w:p w:rsidR="004B6A11" w:rsidRPr="00DC3C25" w:rsidRDefault="004B6A11" w:rsidP="004B6A11">
      <w:pPr>
        <w:pStyle w:val="NormalWeb"/>
        <w:spacing w:before="0" w:beforeAutospacing="0" w:after="0"/>
        <w:jc w:val="both"/>
        <w:rPr>
          <w:rFonts w:asciiTheme="minorHAnsi" w:hAnsiTheme="minorHAnsi" w:cstheme="minorHAnsi"/>
        </w:rPr>
      </w:pPr>
    </w:p>
    <w:p w:rsidR="004B6A11" w:rsidRPr="004F2DEB" w:rsidRDefault="004B6A11" w:rsidP="004B6A11">
      <w:pPr>
        <w:pStyle w:val="NormalWeb"/>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Re-appointment at the end of the Term shall be based on the recommendation of the Nomination and Remuneration Committee and subject to the approval of the Board and the Members. The re-appointment would be considered based on the outcome of the performance evaluation process and the Independent Director continuing to meet the independence criteria.</w:t>
      </w:r>
    </w:p>
    <w:p w:rsidR="004B6A11" w:rsidRPr="00DC3C25" w:rsidRDefault="004B6A11" w:rsidP="004B6A11">
      <w:pPr>
        <w:pStyle w:val="NormalWeb"/>
        <w:spacing w:before="0" w:beforeAutospacing="0" w:after="0"/>
        <w:jc w:val="both"/>
        <w:rPr>
          <w:rFonts w:asciiTheme="minorHAnsi" w:hAnsiTheme="minorHAnsi" w:cstheme="minorHAnsi"/>
        </w:rPr>
      </w:pPr>
    </w:p>
    <w:p w:rsidR="004B6A11" w:rsidRPr="004F2DEB" w:rsidRDefault="00E24F43" w:rsidP="00343B02">
      <w:pPr>
        <w:pStyle w:val="NormalWeb"/>
        <w:numPr>
          <w:ilvl w:val="0"/>
          <w:numId w:val="17"/>
        </w:numPr>
        <w:spacing w:before="0" w:beforeAutospacing="0" w:after="0"/>
        <w:jc w:val="both"/>
        <w:rPr>
          <w:rFonts w:asciiTheme="minorHAnsi" w:hAnsiTheme="minorHAnsi" w:cstheme="minorHAnsi"/>
          <w:i/>
          <w:sz w:val="26"/>
          <w:szCs w:val="26"/>
        </w:rPr>
      </w:pPr>
      <w:r>
        <w:rPr>
          <w:rFonts w:asciiTheme="minorHAnsi" w:hAnsiTheme="minorHAnsi" w:cstheme="minorHAnsi"/>
          <w:b/>
          <w:bCs/>
          <w:i/>
          <w:color w:val="000000"/>
          <w:sz w:val="26"/>
          <w:szCs w:val="26"/>
          <w:u w:val="single"/>
        </w:rPr>
        <w:t>Roles, Duties and R</w:t>
      </w:r>
      <w:r w:rsidR="004B6A11" w:rsidRPr="004F2DEB">
        <w:rPr>
          <w:rFonts w:asciiTheme="minorHAnsi" w:hAnsiTheme="minorHAnsi" w:cstheme="minorHAnsi"/>
          <w:b/>
          <w:bCs/>
          <w:i/>
          <w:color w:val="000000"/>
          <w:sz w:val="26"/>
          <w:szCs w:val="26"/>
          <w:u w:val="single"/>
        </w:rPr>
        <w:t>esponsibilities:</w:t>
      </w:r>
    </w:p>
    <w:p w:rsidR="004B6A11" w:rsidRPr="00DC3C25" w:rsidRDefault="004B6A11" w:rsidP="004B6A11">
      <w:pPr>
        <w:pStyle w:val="NormalWeb"/>
        <w:spacing w:before="0" w:beforeAutospacing="0" w:after="0"/>
        <w:jc w:val="both"/>
        <w:rPr>
          <w:rFonts w:asciiTheme="minorHAnsi" w:hAnsiTheme="minorHAnsi" w:cstheme="minorHAnsi"/>
        </w:rPr>
      </w:pPr>
    </w:p>
    <w:p w:rsidR="00F5790F" w:rsidRDefault="00F5790F" w:rsidP="00F5790F">
      <w:pPr>
        <w:pStyle w:val="NormalWeb"/>
        <w:spacing w:before="0" w:beforeAutospacing="0" w:after="0"/>
        <w:jc w:val="both"/>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 xml:space="preserve">a.  </w:t>
      </w:r>
      <w:r w:rsidR="004B6A11" w:rsidRPr="004F2DEB">
        <w:rPr>
          <w:rFonts w:asciiTheme="minorHAnsi" w:hAnsiTheme="minorHAnsi" w:cstheme="minorHAnsi"/>
          <w:color w:val="000000"/>
          <w:sz w:val="22"/>
          <w:szCs w:val="22"/>
        </w:rPr>
        <w:t>As</w:t>
      </w:r>
      <w:proofErr w:type="gramEnd"/>
      <w:r w:rsidR="004B6A11" w:rsidRPr="004F2DEB">
        <w:rPr>
          <w:rFonts w:asciiTheme="minorHAnsi" w:hAnsiTheme="minorHAnsi" w:cstheme="minorHAnsi"/>
          <w:color w:val="000000"/>
          <w:sz w:val="22"/>
          <w:szCs w:val="22"/>
        </w:rPr>
        <w:t xml:space="preserve"> Members of the Board, they along with the other Directors, will be collectively responsible for </w:t>
      </w:r>
      <w:r>
        <w:rPr>
          <w:rFonts w:asciiTheme="minorHAnsi" w:hAnsiTheme="minorHAnsi" w:cstheme="minorHAnsi"/>
          <w:color w:val="000000"/>
          <w:sz w:val="22"/>
          <w:szCs w:val="22"/>
        </w:rPr>
        <w:t xml:space="preserve"> </w:t>
      </w:r>
    </w:p>
    <w:p w:rsidR="004B6A11" w:rsidRPr="004F2DEB" w:rsidRDefault="00F5790F" w:rsidP="00F5790F">
      <w:pPr>
        <w:pStyle w:val="NormalWeb"/>
        <w:spacing w:before="0" w:beforeAutospacing="0" w:after="0"/>
        <w:jc w:val="both"/>
        <w:rPr>
          <w:rFonts w:asciiTheme="minorHAnsi" w:hAnsiTheme="minorHAnsi" w:cstheme="minorHAnsi"/>
          <w:sz w:val="22"/>
          <w:szCs w:val="22"/>
        </w:rPr>
      </w:pPr>
      <w:r>
        <w:rPr>
          <w:rFonts w:asciiTheme="minorHAnsi" w:hAnsiTheme="minorHAnsi" w:cstheme="minorHAnsi"/>
          <w:color w:val="000000"/>
          <w:sz w:val="22"/>
          <w:szCs w:val="22"/>
        </w:rPr>
        <w:t xml:space="preserve">      </w:t>
      </w:r>
      <w:proofErr w:type="gramStart"/>
      <w:r w:rsidR="004B6A11" w:rsidRPr="004F2DEB">
        <w:rPr>
          <w:rFonts w:asciiTheme="minorHAnsi" w:hAnsiTheme="minorHAnsi" w:cstheme="minorHAnsi"/>
          <w:color w:val="000000"/>
          <w:sz w:val="22"/>
          <w:szCs w:val="22"/>
        </w:rPr>
        <w:t>meeting</w:t>
      </w:r>
      <w:proofErr w:type="gramEnd"/>
      <w:r w:rsidR="004B6A11" w:rsidRPr="004F2DEB">
        <w:rPr>
          <w:rFonts w:asciiTheme="minorHAnsi" w:hAnsiTheme="minorHAnsi" w:cstheme="minorHAnsi"/>
          <w:color w:val="000000"/>
          <w:sz w:val="22"/>
          <w:szCs w:val="22"/>
        </w:rPr>
        <w:t xml:space="preserve"> the objectives of the Board which inter alia, include: </w:t>
      </w:r>
    </w:p>
    <w:p w:rsidR="004B6A11" w:rsidRPr="004F2DEB" w:rsidRDefault="004B6A11" w:rsidP="004B6A11">
      <w:pPr>
        <w:pStyle w:val="NormalWeb"/>
        <w:spacing w:before="0" w:beforeAutospacing="0" w:after="0"/>
        <w:jc w:val="both"/>
        <w:rPr>
          <w:rFonts w:asciiTheme="minorHAnsi" w:hAnsiTheme="minorHAnsi" w:cstheme="minorHAnsi"/>
          <w:sz w:val="22"/>
          <w:szCs w:val="22"/>
        </w:rPr>
      </w:pPr>
    </w:p>
    <w:p w:rsidR="004B6A11" w:rsidRPr="004F2DEB" w:rsidRDefault="004B6A11" w:rsidP="004B6A11">
      <w:pPr>
        <w:pStyle w:val="NormalWeb"/>
        <w:numPr>
          <w:ilvl w:val="0"/>
          <w:numId w:val="20"/>
        </w:numPr>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 xml:space="preserve">Requirements under the Companies Act, 2013, as amended or re-stated for the time being in force </w:t>
      </w:r>
    </w:p>
    <w:p w:rsidR="004B6A11" w:rsidRPr="004F2DEB" w:rsidRDefault="004B6A11" w:rsidP="004B6A11">
      <w:pPr>
        <w:pStyle w:val="NormalWeb"/>
        <w:spacing w:before="0" w:beforeAutospacing="0" w:after="0"/>
        <w:jc w:val="both"/>
        <w:rPr>
          <w:rFonts w:asciiTheme="minorHAnsi" w:hAnsiTheme="minorHAnsi" w:cstheme="minorHAnsi"/>
          <w:sz w:val="22"/>
          <w:szCs w:val="22"/>
        </w:rPr>
      </w:pPr>
    </w:p>
    <w:p w:rsidR="004B6A11" w:rsidRPr="004F2DEB" w:rsidRDefault="004B6A11" w:rsidP="004B6A11">
      <w:pPr>
        <w:pStyle w:val="NormalWeb"/>
        <w:numPr>
          <w:ilvl w:val="0"/>
          <w:numId w:val="21"/>
        </w:numPr>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 xml:space="preserve">Responsibilities of the Board as outlined in the Corporate Governance requirements as prescribed by Stock Exchanges under </w:t>
      </w:r>
      <w:r w:rsidR="00692360" w:rsidRPr="00692360">
        <w:rPr>
          <w:rFonts w:asciiTheme="minorHAnsi" w:hAnsiTheme="minorHAnsi" w:cstheme="minorHAnsi"/>
          <w:bCs/>
          <w:color w:val="000000"/>
          <w:sz w:val="22"/>
          <w:szCs w:val="22"/>
          <w:lang w:val="en-US"/>
        </w:rPr>
        <w:t>Regulation 4 of the SEBI(Listing Obligations and Disclosure Requirements) Regulations, 2015</w:t>
      </w:r>
      <w:r w:rsidR="00692360">
        <w:rPr>
          <w:rFonts w:asciiTheme="minorHAnsi" w:hAnsiTheme="minorHAnsi" w:cstheme="minorHAnsi"/>
          <w:bCs/>
          <w:color w:val="000000"/>
          <w:sz w:val="22"/>
          <w:szCs w:val="22"/>
          <w:lang w:val="en-US"/>
        </w:rPr>
        <w:t xml:space="preserve"> </w:t>
      </w:r>
      <w:r w:rsidRPr="004F2DEB">
        <w:rPr>
          <w:rFonts w:asciiTheme="minorHAnsi" w:hAnsiTheme="minorHAnsi" w:cstheme="minorHAnsi"/>
          <w:color w:val="000000"/>
          <w:sz w:val="22"/>
          <w:szCs w:val="22"/>
        </w:rPr>
        <w:t xml:space="preserve">as amended from time to time </w:t>
      </w:r>
    </w:p>
    <w:p w:rsidR="004B6A11" w:rsidRPr="004F2DEB" w:rsidRDefault="004B6A11" w:rsidP="004B6A11">
      <w:pPr>
        <w:pStyle w:val="NormalWeb"/>
        <w:spacing w:before="0" w:beforeAutospacing="0" w:after="0"/>
        <w:jc w:val="both"/>
        <w:rPr>
          <w:rFonts w:asciiTheme="minorHAnsi" w:hAnsiTheme="minorHAnsi" w:cstheme="minorHAnsi"/>
          <w:sz w:val="22"/>
          <w:szCs w:val="22"/>
        </w:rPr>
      </w:pPr>
    </w:p>
    <w:p w:rsidR="004B6A11" w:rsidRPr="004F2DEB" w:rsidRDefault="004B6A11" w:rsidP="004B6A11">
      <w:pPr>
        <w:pStyle w:val="NormalWeb"/>
        <w:numPr>
          <w:ilvl w:val="0"/>
          <w:numId w:val="22"/>
        </w:numPr>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 xml:space="preserve">Accountability under the Director’s Responsibility Statement. </w:t>
      </w:r>
    </w:p>
    <w:p w:rsidR="00641C47" w:rsidRPr="004F2DEB" w:rsidRDefault="00641C47" w:rsidP="004B6A11">
      <w:pPr>
        <w:pStyle w:val="NormalWeb"/>
        <w:spacing w:before="0" w:beforeAutospacing="0" w:after="0"/>
        <w:jc w:val="both"/>
        <w:rPr>
          <w:rFonts w:asciiTheme="minorHAnsi" w:hAnsiTheme="minorHAnsi" w:cstheme="minorHAnsi"/>
          <w:sz w:val="22"/>
          <w:szCs w:val="22"/>
        </w:rPr>
      </w:pPr>
    </w:p>
    <w:p w:rsidR="00F5790F" w:rsidRDefault="00F5790F" w:rsidP="00F5790F">
      <w:pPr>
        <w:pStyle w:val="NormalWeb"/>
        <w:spacing w:before="0" w:beforeAutospacing="0" w:after="0"/>
        <w:jc w:val="both"/>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 xml:space="preserve">b.  </w:t>
      </w:r>
      <w:r w:rsidR="004B6A11" w:rsidRPr="004F2DEB">
        <w:rPr>
          <w:rFonts w:asciiTheme="minorHAnsi" w:hAnsiTheme="minorHAnsi" w:cstheme="minorHAnsi"/>
          <w:color w:val="000000"/>
          <w:sz w:val="22"/>
          <w:szCs w:val="22"/>
        </w:rPr>
        <w:t>They</w:t>
      </w:r>
      <w:proofErr w:type="gramEnd"/>
      <w:r w:rsidR="004B6A11" w:rsidRPr="004F2DEB">
        <w:rPr>
          <w:rFonts w:asciiTheme="minorHAnsi" w:hAnsiTheme="minorHAnsi" w:cstheme="minorHAnsi"/>
          <w:color w:val="000000"/>
          <w:sz w:val="22"/>
          <w:szCs w:val="22"/>
        </w:rPr>
        <w:t xml:space="preserve"> shall abide by the ‘Code For Independent Directors’ as outlined in Schedule IV to Section 149(8) </w:t>
      </w:r>
    </w:p>
    <w:p w:rsidR="00F5790F" w:rsidRDefault="00F5790F" w:rsidP="00F5790F">
      <w:pPr>
        <w:pStyle w:val="NormalWeb"/>
        <w:spacing w:before="0" w:beforeAutospacing="0" w:after="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gramStart"/>
      <w:r w:rsidR="004B6A11" w:rsidRPr="004F2DEB">
        <w:rPr>
          <w:rFonts w:asciiTheme="minorHAnsi" w:hAnsiTheme="minorHAnsi" w:cstheme="minorHAnsi"/>
          <w:color w:val="000000"/>
          <w:sz w:val="22"/>
          <w:szCs w:val="22"/>
        </w:rPr>
        <w:t>of</w:t>
      </w:r>
      <w:proofErr w:type="gramEnd"/>
      <w:r w:rsidR="004B6A11" w:rsidRPr="004F2DEB">
        <w:rPr>
          <w:rFonts w:asciiTheme="minorHAnsi" w:hAnsiTheme="minorHAnsi" w:cstheme="minorHAnsi"/>
          <w:color w:val="000000"/>
          <w:sz w:val="22"/>
          <w:szCs w:val="22"/>
        </w:rPr>
        <w:t xml:space="preserve"> the 2013 Act, and duties of directors as provided in the 2013 Act (including but not limited to </w:t>
      </w:r>
    </w:p>
    <w:p w:rsidR="004B6A11" w:rsidRPr="004F2DEB" w:rsidRDefault="00F5790F" w:rsidP="00F5790F">
      <w:pPr>
        <w:pStyle w:val="NormalWeb"/>
        <w:spacing w:before="0" w:beforeAutospacing="0" w:after="0"/>
        <w:jc w:val="both"/>
        <w:rPr>
          <w:rFonts w:asciiTheme="minorHAnsi" w:hAnsiTheme="minorHAnsi" w:cstheme="minorHAnsi"/>
          <w:sz w:val="22"/>
          <w:szCs w:val="22"/>
        </w:rPr>
      </w:pPr>
      <w:r>
        <w:rPr>
          <w:rFonts w:asciiTheme="minorHAnsi" w:hAnsiTheme="minorHAnsi" w:cstheme="minorHAnsi"/>
          <w:color w:val="000000"/>
          <w:sz w:val="22"/>
          <w:szCs w:val="22"/>
        </w:rPr>
        <w:lastRenderedPageBreak/>
        <w:t xml:space="preserve">      </w:t>
      </w:r>
      <w:r w:rsidR="004B6A11" w:rsidRPr="004F2DEB">
        <w:rPr>
          <w:rFonts w:asciiTheme="minorHAnsi" w:hAnsiTheme="minorHAnsi" w:cstheme="minorHAnsi"/>
          <w:color w:val="000000"/>
          <w:sz w:val="22"/>
          <w:szCs w:val="22"/>
        </w:rPr>
        <w:t xml:space="preserve">Section 166) and in </w:t>
      </w:r>
      <w:r w:rsidR="00CC11A2" w:rsidRPr="00CC11A2">
        <w:rPr>
          <w:rFonts w:asciiTheme="minorHAnsi" w:hAnsiTheme="minorHAnsi" w:cstheme="minorHAnsi"/>
          <w:bCs/>
          <w:color w:val="000000"/>
          <w:sz w:val="22"/>
          <w:szCs w:val="22"/>
          <w:lang w:val="en-US"/>
        </w:rPr>
        <w:t xml:space="preserve">Regulation 25 of the </w:t>
      </w:r>
      <w:proofErr w:type="gramStart"/>
      <w:r w:rsidR="00CC11A2" w:rsidRPr="00CC11A2">
        <w:rPr>
          <w:rFonts w:asciiTheme="minorHAnsi" w:hAnsiTheme="minorHAnsi" w:cstheme="minorHAnsi"/>
          <w:bCs/>
          <w:color w:val="000000"/>
          <w:sz w:val="22"/>
          <w:szCs w:val="22"/>
          <w:lang w:val="en-US"/>
        </w:rPr>
        <w:t>SEBI(</w:t>
      </w:r>
      <w:proofErr w:type="gramEnd"/>
      <w:r w:rsidR="00CC11A2" w:rsidRPr="00CC11A2">
        <w:rPr>
          <w:rFonts w:asciiTheme="minorHAnsi" w:hAnsiTheme="minorHAnsi" w:cstheme="minorHAnsi"/>
          <w:bCs/>
          <w:color w:val="000000"/>
          <w:sz w:val="22"/>
          <w:szCs w:val="22"/>
          <w:lang w:val="en-US"/>
        </w:rPr>
        <w:t>Listing Obligations and Disclosure Requirements) Regulations, 2015</w:t>
      </w:r>
      <w:r w:rsidR="004B6A11" w:rsidRPr="004F2DEB">
        <w:rPr>
          <w:rFonts w:asciiTheme="minorHAnsi" w:hAnsiTheme="minorHAnsi" w:cstheme="minorHAnsi"/>
          <w:color w:val="000000"/>
          <w:sz w:val="22"/>
          <w:szCs w:val="22"/>
        </w:rPr>
        <w:t xml:space="preserve">. </w:t>
      </w:r>
    </w:p>
    <w:p w:rsidR="004B6A11" w:rsidRPr="004F2DEB" w:rsidRDefault="004B6A11" w:rsidP="004B6A11">
      <w:pPr>
        <w:pStyle w:val="NormalWeb"/>
        <w:spacing w:before="0" w:beforeAutospacing="0" w:after="0"/>
        <w:jc w:val="both"/>
        <w:rPr>
          <w:rFonts w:asciiTheme="minorHAnsi" w:hAnsiTheme="minorHAnsi" w:cstheme="minorHAnsi"/>
          <w:sz w:val="22"/>
          <w:szCs w:val="22"/>
        </w:rPr>
      </w:pPr>
    </w:p>
    <w:p w:rsidR="004B6A11" w:rsidRPr="004F2DEB" w:rsidRDefault="003F2BB8" w:rsidP="003F2BB8">
      <w:pPr>
        <w:pStyle w:val="NormalWeb"/>
        <w:spacing w:before="0" w:beforeAutospacing="0" w:after="0"/>
        <w:jc w:val="both"/>
        <w:rPr>
          <w:rFonts w:asciiTheme="minorHAnsi" w:hAnsiTheme="minorHAnsi" w:cstheme="minorHAnsi"/>
          <w:sz w:val="22"/>
          <w:szCs w:val="22"/>
        </w:rPr>
      </w:pPr>
      <w:proofErr w:type="gramStart"/>
      <w:r>
        <w:rPr>
          <w:rFonts w:asciiTheme="minorHAnsi" w:hAnsiTheme="minorHAnsi" w:cstheme="minorHAnsi"/>
          <w:color w:val="000000"/>
          <w:sz w:val="22"/>
          <w:szCs w:val="22"/>
        </w:rPr>
        <w:t xml:space="preserve">c.  </w:t>
      </w:r>
      <w:r w:rsidR="004B6A11" w:rsidRPr="004F2DEB">
        <w:rPr>
          <w:rFonts w:asciiTheme="minorHAnsi" w:hAnsiTheme="minorHAnsi" w:cstheme="minorHAnsi"/>
          <w:color w:val="000000"/>
          <w:sz w:val="22"/>
          <w:szCs w:val="22"/>
        </w:rPr>
        <w:t>They</w:t>
      </w:r>
      <w:proofErr w:type="gramEnd"/>
      <w:r w:rsidR="004B6A11" w:rsidRPr="004F2DEB">
        <w:rPr>
          <w:rFonts w:asciiTheme="minorHAnsi" w:hAnsiTheme="minorHAnsi" w:cstheme="minorHAnsi"/>
          <w:color w:val="000000"/>
          <w:sz w:val="22"/>
          <w:szCs w:val="22"/>
        </w:rPr>
        <w:t xml:space="preserve"> will be particularly requested to provide guidance in their area of expertise.</w:t>
      </w:r>
    </w:p>
    <w:p w:rsidR="00F5324D" w:rsidRPr="00DC3C25" w:rsidRDefault="00F5324D" w:rsidP="00F5324D">
      <w:pPr>
        <w:pStyle w:val="NormalWeb"/>
        <w:spacing w:before="0" w:beforeAutospacing="0" w:after="0"/>
        <w:jc w:val="both"/>
        <w:rPr>
          <w:rFonts w:asciiTheme="minorHAnsi" w:hAnsiTheme="minorHAnsi" w:cstheme="minorHAnsi"/>
        </w:rPr>
      </w:pPr>
    </w:p>
    <w:p w:rsidR="004B6A11" w:rsidRPr="004F2DEB" w:rsidRDefault="004B6A11" w:rsidP="00343B02">
      <w:pPr>
        <w:pStyle w:val="NormalWeb"/>
        <w:numPr>
          <w:ilvl w:val="0"/>
          <w:numId w:val="17"/>
        </w:numPr>
        <w:spacing w:before="0" w:beforeAutospacing="0" w:after="0"/>
        <w:jc w:val="both"/>
        <w:rPr>
          <w:rFonts w:asciiTheme="minorHAnsi" w:hAnsiTheme="minorHAnsi" w:cstheme="minorHAnsi"/>
          <w:i/>
          <w:sz w:val="26"/>
          <w:szCs w:val="26"/>
        </w:rPr>
      </w:pPr>
      <w:r w:rsidRPr="004F2DEB">
        <w:rPr>
          <w:rFonts w:asciiTheme="minorHAnsi" w:hAnsiTheme="minorHAnsi" w:cstheme="minorHAnsi"/>
          <w:b/>
          <w:bCs/>
          <w:i/>
          <w:color w:val="000000"/>
          <w:sz w:val="26"/>
          <w:szCs w:val="26"/>
          <w:u w:val="single"/>
        </w:rPr>
        <w:t>Time Commitment:</w:t>
      </w:r>
    </w:p>
    <w:p w:rsidR="004B6A11" w:rsidRPr="004F2DEB" w:rsidRDefault="004B6A11" w:rsidP="004B6A11">
      <w:pPr>
        <w:pStyle w:val="NormalWeb"/>
        <w:spacing w:before="0" w:beforeAutospacing="0" w:after="0"/>
        <w:jc w:val="both"/>
        <w:rPr>
          <w:rFonts w:asciiTheme="minorHAnsi" w:hAnsiTheme="minorHAnsi" w:cstheme="minorHAnsi"/>
          <w:i/>
          <w:sz w:val="26"/>
          <w:szCs w:val="26"/>
        </w:rPr>
      </w:pPr>
    </w:p>
    <w:p w:rsidR="004B6A11" w:rsidRPr="004F2DEB" w:rsidRDefault="004B6A11" w:rsidP="00343B02">
      <w:pPr>
        <w:pStyle w:val="NormalWeb"/>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Considering the nature of the role of a director, it is difficult for a company to lay down specific parameters on time commitment. They agree to devote such time as is prudent and necessary for the proper performance of their roles, duties and responsibilities as Independent Directors.</w:t>
      </w:r>
    </w:p>
    <w:p w:rsidR="004B6A11" w:rsidRPr="004F2DEB" w:rsidRDefault="004B6A11" w:rsidP="004B6A11">
      <w:pPr>
        <w:pStyle w:val="NormalWeb"/>
        <w:spacing w:before="0" w:beforeAutospacing="0" w:after="0"/>
        <w:jc w:val="both"/>
        <w:rPr>
          <w:rFonts w:asciiTheme="minorHAnsi" w:hAnsiTheme="minorHAnsi" w:cstheme="minorHAnsi"/>
          <w:sz w:val="22"/>
          <w:szCs w:val="22"/>
        </w:rPr>
      </w:pPr>
    </w:p>
    <w:p w:rsidR="004B6A11" w:rsidRPr="004F2DEB" w:rsidRDefault="004B6A11" w:rsidP="00343B02">
      <w:pPr>
        <w:pStyle w:val="NormalWeb"/>
        <w:numPr>
          <w:ilvl w:val="0"/>
          <w:numId w:val="17"/>
        </w:numPr>
        <w:spacing w:before="0" w:beforeAutospacing="0" w:after="0"/>
        <w:jc w:val="both"/>
        <w:rPr>
          <w:rFonts w:asciiTheme="minorHAnsi" w:hAnsiTheme="minorHAnsi" w:cstheme="minorHAnsi"/>
          <w:i/>
          <w:sz w:val="26"/>
          <w:szCs w:val="26"/>
        </w:rPr>
      </w:pPr>
      <w:r w:rsidRPr="004F2DEB">
        <w:rPr>
          <w:rFonts w:asciiTheme="minorHAnsi" w:hAnsiTheme="minorHAnsi" w:cstheme="minorHAnsi"/>
          <w:b/>
          <w:bCs/>
          <w:i/>
          <w:color w:val="000000"/>
          <w:sz w:val="26"/>
          <w:szCs w:val="26"/>
          <w:u w:val="single"/>
        </w:rPr>
        <w:t>Remuneration:</w:t>
      </w:r>
    </w:p>
    <w:p w:rsidR="004B6A11" w:rsidRPr="00DC3C25" w:rsidRDefault="004B6A11" w:rsidP="004B6A11">
      <w:pPr>
        <w:pStyle w:val="NormalWeb"/>
        <w:spacing w:before="0" w:beforeAutospacing="0" w:after="0"/>
        <w:ind w:left="68"/>
        <w:jc w:val="both"/>
        <w:rPr>
          <w:rFonts w:asciiTheme="minorHAnsi" w:hAnsiTheme="minorHAnsi" w:cstheme="minorHAnsi"/>
        </w:rPr>
      </w:pPr>
    </w:p>
    <w:p w:rsidR="004B6A11" w:rsidRPr="004F2DEB" w:rsidRDefault="004B6A11" w:rsidP="002522AF">
      <w:pPr>
        <w:pStyle w:val="NormalWeb"/>
        <w:spacing w:before="0" w:beforeAutospacing="0" w:after="0"/>
        <w:jc w:val="both"/>
        <w:rPr>
          <w:rFonts w:asciiTheme="minorHAnsi" w:hAnsiTheme="minorHAnsi" w:cstheme="minorHAnsi"/>
          <w:color w:val="000000"/>
          <w:sz w:val="22"/>
          <w:szCs w:val="22"/>
        </w:rPr>
      </w:pPr>
      <w:r w:rsidRPr="004F2DEB">
        <w:rPr>
          <w:rFonts w:asciiTheme="minorHAnsi" w:hAnsiTheme="minorHAnsi" w:cstheme="minorHAnsi"/>
          <w:color w:val="000000"/>
          <w:sz w:val="22"/>
          <w:szCs w:val="22"/>
        </w:rPr>
        <w:t>As Independent Directors they shall be paid sitting fees for attending the meetings of the Board and the Committees, as may be applicable, of which they are members. The sitting fees for attending each meeting of the Board and its Committees would be as determined by the Board from time to time.</w:t>
      </w:r>
    </w:p>
    <w:p w:rsidR="00951FE5" w:rsidRPr="004F2DEB" w:rsidRDefault="00951FE5" w:rsidP="002522AF">
      <w:pPr>
        <w:pStyle w:val="NormalWeb"/>
        <w:spacing w:before="0" w:beforeAutospacing="0" w:after="0"/>
        <w:jc w:val="both"/>
        <w:rPr>
          <w:rFonts w:asciiTheme="minorHAnsi" w:hAnsiTheme="minorHAnsi" w:cstheme="minorHAnsi"/>
          <w:color w:val="000000"/>
          <w:sz w:val="22"/>
          <w:szCs w:val="22"/>
        </w:rPr>
      </w:pPr>
    </w:p>
    <w:p w:rsidR="004B6A11" w:rsidRPr="004F2DEB" w:rsidRDefault="004B6A11" w:rsidP="002522AF">
      <w:pPr>
        <w:pStyle w:val="NormalWeb"/>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Further, the Company may pay or reimburse to the Director such expenditure, as may have been incurred while performing their role as an Independent Director of the Company. This could include reimbursement of expenditure incurred for accommodation, travel and any out of pocket expenses for attending Board/ Committee meetings, General Meetings, court convened meetings, meetings with Members/ creditors/ management, site visits, induction and training (organized by the Company for Directors) and in obtaining, subject to the expense being reasonable, professional advice from independent advisors in the furtherance of the duties as an Independent Director.</w:t>
      </w:r>
    </w:p>
    <w:p w:rsidR="004B6A11" w:rsidRPr="00DC3C25" w:rsidRDefault="004B6A11" w:rsidP="004B6A11">
      <w:pPr>
        <w:pStyle w:val="NormalWeb"/>
        <w:spacing w:before="0" w:beforeAutospacing="0" w:after="0"/>
        <w:jc w:val="both"/>
        <w:rPr>
          <w:rFonts w:asciiTheme="minorHAnsi" w:hAnsiTheme="minorHAnsi" w:cstheme="minorHAnsi"/>
        </w:rPr>
      </w:pPr>
    </w:p>
    <w:p w:rsidR="004B6A11" w:rsidRPr="004F2DEB" w:rsidRDefault="004B6A11" w:rsidP="00FF567C">
      <w:pPr>
        <w:pStyle w:val="NormalWeb"/>
        <w:numPr>
          <w:ilvl w:val="0"/>
          <w:numId w:val="17"/>
        </w:numPr>
        <w:spacing w:before="0" w:beforeAutospacing="0" w:after="0"/>
        <w:jc w:val="both"/>
        <w:rPr>
          <w:rFonts w:asciiTheme="minorHAnsi" w:hAnsiTheme="minorHAnsi" w:cstheme="minorHAnsi"/>
          <w:i/>
          <w:sz w:val="26"/>
          <w:szCs w:val="26"/>
        </w:rPr>
      </w:pPr>
      <w:r w:rsidRPr="004F2DEB">
        <w:rPr>
          <w:rFonts w:asciiTheme="minorHAnsi" w:hAnsiTheme="minorHAnsi" w:cstheme="minorHAnsi"/>
          <w:b/>
          <w:bCs/>
          <w:i/>
          <w:color w:val="000000"/>
          <w:sz w:val="26"/>
          <w:szCs w:val="26"/>
          <w:u w:val="single"/>
        </w:rPr>
        <w:t>Insurance:</w:t>
      </w:r>
    </w:p>
    <w:p w:rsidR="004B6A11" w:rsidRPr="00DC3C25" w:rsidRDefault="004B6A11" w:rsidP="004B6A11">
      <w:pPr>
        <w:pStyle w:val="NormalWeb"/>
        <w:spacing w:before="0" w:beforeAutospacing="0" w:after="0"/>
        <w:jc w:val="both"/>
        <w:rPr>
          <w:rFonts w:asciiTheme="minorHAnsi" w:hAnsiTheme="minorHAnsi" w:cstheme="minorHAnsi"/>
        </w:rPr>
      </w:pPr>
    </w:p>
    <w:p w:rsidR="003D67D3" w:rsidRPr="004F2DEB" w:rsidRDefault="004B6A11" w:rsidP="00FF567C">
      <w:pPr>
        <w:pStyle w:val="NormalWeb"/>
        <w:spacing w:before="0" w:beforeAutospacing="0" w:after="0"/>
        <w:jc w:val="both"/>
        <w:rPr>
          <w:rFonts w:asciiTheme="minorHAnsi" w:hAnsiTheme="minorHAnsi" w:cstheme="minorHAnsi"/>
          <w:color w:val="000000"/>
          <w:sz w:val="22"/>
          <w:szCs w:val="22"/>
        </w:rPr>
      </w:pPr>
      <w:r w:rsidRPr="004F2DEB">
        <w:rPr>
          <w:rFonts w:asciiTheme="minorHAnsi" w:hAnsiTheme="minorHAnsi" w:cstheme="minorHAnsi"/>
          <w:color w:val="000000"/>
          <w:sz w:val="22"/>
          <w:szCs w:val="22"/>
        </w:rPr>
        <w:t>The Company will take an appropriate Directors’ and Officers’ Liability Insurance policy and pay the premiums for the same</w:t>
      </w:r>
      <w:r w:rsidR="00951FE5" w:rsidRPr="004F2DEB">
        <w:rPr>
          <w:rFonts w:asciiTheme="minorHAnsi" w:hAnsiTheme="minorHAnsi" w:cstheme="minorHAnsi"/>
          <w:color w:val="000000"/>
          <w:sz w:val="22"/>
          <w:szCs w:val="22"/>
        </w:rPr>
        <w:t xml:space="preserve"> i</w:t>
      </w:r>
      <w:r w:rsidR="003D67D3" w:rsidRPr="004F2DEB">
        <w:rPr>
          <w:rFonts w:asciiTheme="minorHAnsi" w:hAnsiTheme="minorHAnsi" w:cstheme="minorHAnsi"/>
          <w:color w:val="000000"/>
          <w:sz w:val="22"/>
          <w:szCs w:val="22"/>
        </w:rPr>
        <w:t xml:space="preserve">f </w:t>
      </w:r>
      <w:r w:rsidR="00951FE5" w:rsidRPr="004F2DEB">
        <w:rPr>
          <w:rFonts w:asciiTheme="minorHAnsi" w:hAnsiTheme="minorHAnsi" w:cstheme="minorHAnsi"/>
          <w:color w:val="000000"/>
          <w:sz w:val="22"/>
          <w:szCs w:val="22"/>
        </w:rPr>
        <w:t>B</w:t>
      </w:r>
      <w:r w:rsidR="003D67D3" w:rsidRPr="004F2DEB">
        <w:rPr>
          <w:rFonts w:asciiTheme="minorHAnsi" w:hAnsiTheme="minorHAnsi" w:cstheme="minorHAnsi"/>
          <w:color w:val="000000"/>
          <w:sz w:val="22"/>
          <w:szCs w:val="22"/>
        </w:rPr>
        <w:t>oard considers necessary</w:t>
      </w:r>
      <w:r w:rsidR="00951FE5" w:rsidRPr="004F2DEB">
        <w:rPr>
          <w:rFonts w:asciiTheme="minorHAnsi" w:hAnsiTheme="minorHAnsi" w:cstheme="minorHAnsi"/>
          <w:color w:val="000000"/>
          <w:sz w:val="22"/>
          <w:szCs w:val="22"/>
        </w:rPr>
        <w:t>.</w:t>
      </w:r>
    </w:p>
    <w:p w:rsidR="00FF567C" w:rsidRPr="00DC3C25" w:rsidRDefault="00FF567C" w:rsidP="004B6A11">
      <w:pPr>
        <w:pStyle w:val="NormalWeb"/>
        <w:spacing w:before="0" w:beforeAutospacing="0" w:after="0"/>
        <w:jc w:val="both"/>
        <w:rPr>
          <w:rFonts w:asciiTheme="minorHAnsi" w:hAnsiTheme="minorHAnsi" w:cstheme="minorHAnsi"/>
        </w:rPr>
      </w:pPr>
    </w:p>
    <w:p w:rsidR="004B6A11" w:rsidRPr="004F2DEB" w:rsidRDefault="00CB35C8" w:rsidP="00FF567C">
      <w:pPr>
        <w:pStyle w:val="NormalWeb"/>
        <w:numPr>
          <w:ilvl w:val="0"/>
          <w:numId w:val="17"/>
        </w:numPr>
        <w:spacing w:before="0" w:beforeAutospacing="0" w:after="0"/>
        <w:jc w:val="both"/>
        <w:rPr>
          <w:rFonts w:asciiTheme="minorHAnsi" w:hAnsiTheme="minorHAnsi" w:cstheme="minorHAnsi"/>
          <w:i/>
          <w:sz w:val="26"/>
          <w:szCs w:val="26"/>
        </w:rPr>
      </w:pPr>
      <w:proofErr w:type="spellStart"/>
      <w:r>
        <w:rPr>
          <w:rFonts w:asciiTheme="minorHAnsi" w:hAnsiTheme="minorHAnsi" w:cstheme="minorHAnsi"/>
          <w:b/>
          <w:bCs/>
          <w:i/>
          <w:color w:val="000000"/>
          <w:sz w:val="26"/>
          <w:szCs w:val="26"/>
          <w:u w:val="single"/>
        </w:rPr>
        <w:t>Phyto</w:t>
      </w:r>
      <w:proofErr w:type="spellEnd"/>
      <w:r>
        <w:rPr>
          <w:rFonts w:asciiTheme="minorHAnsi" w:hAnsiTheme="minorHAnsi" w:cstheme="minorHAnsi"/>
          <w:b/>
          <w:bCs/>
          <w:i/>
          <w:color w:val="000000"/>
          <w:sz w:val="26"/>
          <w:szCs w:val="26"/>
          <w:u w:val="single"/>
        </w:rPr>
        <w:t xml:space="preserve"> </w:t>
      </w:r>
      <w:proofErr w:type="spellStart"/>
      <w:r>
        <w:rPr>
          <w:rFonts w:asciiTheme="minorHAnsi" w:hAnsiTheme="minorHAnsi" w:cstheme="minorHAnsi"/>
          <w:b/>
          <w:bCs/>
          <w:i/>
          <w:color w:val="000000"/>
          <w:sz w:val="26"/>
          <w:szCs w:val="26"/>
          <w:u w:val="single"/>
        </w:rPr>
        <w:t>C</w:t>
      </w:r>
      <w:r w:rsidR="00514DD4" w:rsidRPr="004F2DEB">
        <w:rPr>
          <w:rFonts w:asciiTheme="minorHAnsi" w:hAnsiTheme="minorHAnsi" w:cstheme="minorHAnsi"/>
          <w:b/>
          <w:bCs/>
          <w:i/>
          <w:color w:val="000000"/>
          <w:sz w:val="26"/>
          <w:szCs w:val="26"/>
          <w:u w:val="single"/>
        </w:rPr>
        <w:t>hem</w:t>
      </w:r>
      <w:proofErr w:type="spellEnd"/>
      <w:r w:rsidR="00514DD4" w:rsidRPr="004F2DEB">
        <w:rPr>
          <w:rFonts w:asciiTheme="minorHAnsi" w:hAnsiTheme="minorHAnsi" w:cstheme="minorHAnsi"/>
          <w:b/>
          <w:bCs/>
          <w:i/>
          <w:color w:val="000000"/>
          <w:sz w:val="26"/>
          <w:szCs w:val="26"/>
          <w:u w:val="single"/>
        </w:rPr>
        <w:t xml:space="preserve"> (India) </w:t>
      </w:r>
      <w:r>
        <w:rPr>
          <w:rFonts w:asciiTheme="minorHAnsi" w:hAnsiTheme="minorHAnsi" w:cstheme="minorHAnsi"/>
          <w:b/>
          <w:bCs/>
          <w:i/>
          <w:color w:val="000000"/>
          <w:sz w:val="26"/>
          <w:szCs w:val="26"/>
          <w:u w:val="single"/>
        </w:rPr>
        <w:t>L</w:t>
      </w:r>
      <w:r w:rsidR="00514DD4" w:rsidRPr="004F2DEB">
        <w:rPr>
          <w:rFonts w:asciiTheme="minorHAnsi" w:hAnsiTheme="minorHAnsi" w:cstheme="minorHAnsi"/>
          <w:b/>
          <w:bCs/>
          <w:i/>
          <w:color w:val="000000"/>
          <w:sz w:val="26"/>
          <w:szCs w:val="26"/>
          <w:u w:val="single"/>
        </w:rPr>
        <w:t xml:space="preserve">imited’s </w:t>
      </w:r>
      <w:r w:rsidR="004B6A11" w:rsidRPr="004F2DEB">
        <w:rPr>
          <w:rFonts w:asciiTheme="minorHAnsi" w:hAnsiTheme="minorHAnsi" w:cstheme="minorHAnsi"/>
          <w:b/>
          <w:bCs/>
          <w:i/>
          <w:color w:val="000000"/>
          <w:sz w:val="26"/>
          <w:szCs w:val="26"/>
          <w:u w:val="single"/>
        </w:rPr>
        <w:t>Code of Conduct:</w:t>
      </w:r>
    </w:p>
    <w:p w:rsidR="004B6A11" w:rsidRPr="00DC3C25" w:rsidRDefault="004B6A11" w:rsidP="004B6A11">
      <w:pPr>
        <w:pStyle w:val="NormalWeb"/>
        <w:spacing w:before="0" w:beforeAutospacing="0" w:after="0"/>
        <w:ind w:left="68"/>
        <w:jc w:val="both"/>
        <w:rPr>
          <w:rFonts w:asciiTheme="minorHAnsi" w:hAnsiTheme="minorHAnsi" w:cstheme="minorHAnsi"/>
        </w:rPr>
      </w:pPr>
    </w:p>
    <w:p w:rsidR="004B6A11" w:rsidRPr="004F2DEB" w:rsidRDefault="004B6A11" w:rsidP="00FF567C">
      <w:pPr>
        <w:pStyle w:val="NormalWeb"/>
        <w:spacing w:before="0" w:beforeAutospacing="0" w:after="0"/>
        <w:jc w:val="both"/>
        <w:rPr>
          <w:rFonts w:asciiTheme="minorHAnsi" w:hAnsiTheme="minorHAnsi" w:cstheme="minorHAnsi"/>
          <w:color w:val="000000"/>
          <w:sz w:val="22"/>
          <w:szCs w:val="22"/>
        </w:rPr>
      </w:pPr>
      <w:r w:rsidRPr="004F2DEB">
        <w:rPr>
          <w:rFonts w:asciiTheme="minorHAnsi" w:hAnsiTheme="minorHAnsi" w:cstheme="minorHAnsi"/>
          <w:color w:val="000000"/>
          <w:sz w:val="22"/>
          <w:szCs w:val="22"/>
        </w:rPr>
        <w:t xml:space="preserve">The Independent Director of the </w:t>
      </w:r>
      <w:r w:rsidR="00514DD4" w:rsidRPr="004F2DEB">
        <w:rPr>
          <w:rFonts w:asciiTheme="minorHAnsi" w:hAnsiTheme="minorHAnsi" w:cstheme="minorHAnsi"/>
          <w:color w:val="000000"/>
          <w:sz w:val="22"/>
          <w:szCs w:val="22"/>
        </w:rPr>
        <w:t>Company</w:t>
      </w:r>
      <w:r w:rsidRPr="004F2DEB">
        <w:rPr>
          <w:rFonts w:asciiTheme="minorHAnsi" w:hAnsiTheme="minorHAnsi" w:cstheme="minorHAnsi"/>
          <w:color w:val="000000"/>
          <w:sz w:val="22"/>
          <w:szCs w:val="22"/>
        </w:rPr>
        <w:t xml:space="preserve"> shall agree to comply with the</w:t>
      </w:r>
      <w:r w:rsidR="00924DF7" w:rsidRPr="004F2DEB">
        <w:rPr>
          <w:rFonts w:asciiTheme="minorHAnsi" w:hAnsiTheme="minorHAnsi" w:cstheme="minorHAnsi"/>
          <w:color w:val="000000"/>
          <w:sz w:val="22"/>
          <w:szCs w:val="22"/>
        </w:rPr>
        <w:t xml:space="preserve"> </w:t>
      </w:r>
      <w:proofErr w:type="spellStart"/>
      <w:r w:rsidR="00514DD4" w:rsidRPr="004F2DEB">
        <w:rPr>
          <w:rFonts w:asciiTheme="minorHAnsi" w:hAnsiTheme="minorHAnsi" w:cstheme="minorHAnsi"/>
          <w:color w:val="000000"/>
          <w:sz w:val="22"/>
          <w:szCs w:val="22"/>
        </w:rPr>
        <w:t>Phyto</w:t>
      </w:r>
      <w:proofErr w:type="spellEnd"/>
      <w:r w:rsidR="00514DD4" w:rsidRPr="004F2DEB">
        <w:rPr>
          <w:rFonts w:asciiTheme="minorHAnsi" w:hAnsiTheme="minorHAnsi" w:cstheme="minorHAnsi"/>
          <w:color w:val="000000"/>
          <w:sz w:val="22"/>
          <w:szCs w:val="22"/>
        </w:rPr>
        <w:t xml:space="preserve"> </w:t>
      </w:r>
      <w:proofErr w:type="spellStart"/>
      <w:r w:rsidR="00CB35C8">
        <w:rPr>
          <w:rFonts w:asciiTheme="minorHAnsi" w:hAnsiTheme="minorHAnsi" w:cstheme="minorHAnsi"/>
          <w:color w:val="000000"/>
          <w:sz w:val="22"/>
          <w:szCs w:val="22"/>
        </w:rPr>
        <w:t>C</w:t>
      </w:r>
      <w:r w:rsidR="00514DD4" w:rsidRPr="004F2DEB">
        <w:rPr>
          <w:rFonts w:asciiTheme="minorHAnsi" w:hAnsiTheme="minorHAnsi" w:cstheme="minorHAnsi"/>
          <w:color w:val="000000"/>
          <w:sz w:val="22"/>
          <w:szCs w:val="22"/>
        </w:rPr>
        <w:t>hem</w:t>
      </w:r>
      <w:proofErr w:type="spellEnd"/>
      <w:r w:rsidR="00514DD4" w:rsidRPr="004F2DEB">
        <w:rPr>
          <w:rFonts w:asciiTheme="minorHAnsi" w:hAnsiTheme="minorHAnsi" w:cstheme="minorHAnsi"/>
          <w:color w:val="000000"/>
          <w:sz w:val="22"/>
          <w:szCs w:val="22"/>
        </w:rPr>
        <w:t xml:space="preserve"> (India)</w:t>
      </w:r>
      <w:r w:rsidR="00641C47" w:rsidRPr="004F2DEB">
        <w:rPr>
          <w:rFonts w:asciiTheme="minorHAnsi" w:hAnsiTheme="minorHAnsi" w:cstheme="minorHAnsi"/>
          <w:color w:val="000000"/>
          <w:sz w:val="22"/>
          <w:szCs w:val="22"/>
        </w:rPr>
        <w:t xml:space="preserve"> </w:t>
      </w:r>
      <w:r w:rsidR="00924DF7" w:rsidRPr="004F2DEB">
        <w:rPr>
          <w:rFonts w:asciiTheme="minorHAnsi" w:hAnsiTheme="minorHAnsi" w:cstheme="minorHAnsi"/>
          <w:color w:val="000000"/>
          <w:sz w:val="22"/>
          <w:szCs w:val="22"/>
        </w:rPr>
        <w:t xml:space="preserve">Limited's </w:t>
      </w:r>
      <w:r w:rsidRPr="004F2DEB">
        <w:rPr>
          <w:rFonts w:asciiTheme="minorHAnsi" w:hAnsiTheme="minorHAnsi" w:cstheme="minorHAnsi"/>
          <w:color w:val="000000"/>
          <w:sz w:val="22"/>
          <w:szCs w:val="22"/>
        </w:rPr>
        <w:t>Code of Conduct for Non-Executive Directors (NEDs).</w:t>
      </w:r>
    </w:p>
    <w:p w:rsidR="00C455E3" w:rsidRPr="004F2DEB" w:rsidRDefault="00C455E3" w:rsidP="00FF567C">
      <w:pPr>
        <w:pStyle w:val="NormalWeb"/>
        <w:spacing w:before="0" w:beforeAutospacing="0" w:after="0"/>
        <w:jc w:val="both"/>
        <w:rPr>
          <w:rFonts w:asciiTheme="minorHAnsi" w:hAnsiTheme="minorHAnsi" w:cstheme="minorHAnsi"/>
          <w:color w:val="000000"/>
          <w:sz w:val="22"/>
          <w:szCs w:val="22"/>
        </w:rPr>
      </w:pPr>
    </w:p>
    <w:p w:rsidR="00C455E3" w:rsidRPr="004F2DEB" w:rsidRDefault="00C455E3" w:rsidP="00C455E3">
      <w:pPr>
        <w:widowControl w:val="0"/>
        <w:overflowPunct w:val="0"/>
        <w:autoSpaceDE w:val="0"/>
        <w:autoSpaceDN w:val="0"/>
        <w:adjustRightInd w:val="0"/>
        <w:spacing w:after="0" w:line="240" w:lineRule="auto"/>
        <w:jc w:val="both"/>
        <w:rPr>
          <w:rFonts w:ascii="Calibri" w:hAnsi="Calibri" w:cs="Arial"/>
        </w:rPr>
      </w:pPr>
      <w:r w:rsidRPr="004F2DEB">
        <w:rPr>
          <w:rFonts w:ascii="Calibri" w:hAnsi="Calibri" w:cs="Arial"/>
        </w:rPr>
        <w:t>Code of Conduct for Non-Executive Directors is outlined below:</w:t>
      </w:r>
    </w:p>
    <w:p w:rsidR="00C455E3" w:rsidRPr="004F2DEB" w:rsidRDefault="00C455E3" w:rsidP="00C455E3">
      <w:pPr>
        <w:widowControl w:val="0"/>
        <w:autoSpaceDE w:val="0"/>
        <w:autoSpaceDN w:val="0"/>
        <w:adjustRightInd w:val="0"/>
        <w:spacing w:after="0" w:line="240" w:lineRule="auto"/>
        <w:rPr>
          <w:rFonts w:ascii="Calibri" w:hAnsi="Calibri" w:cs="Arial"/>
        </w:rPr>
      </w:pPr>
    </w:p>
    <w:p w:rsidR="00C455E3" w:rsidRPr="004F2DEB" w:rsidRDefault="00C455E3" w:rsidP="00C455E3">
      <w:pPr>
        <w:widowControl w:val="0"/>
        <w:numPr>
          <w:ilvl w:val="0"/>
          <w:numId w:val="39"/>
        </w:numPr>
        <w:tabs>
          <w:tab w:val="clear" w:pos="720"/>
          <w:tab w:val="num" w:pos="520"/>
        </w:tabs>
        <w:overflowPunct w:val="0"/>
        <w:autoSpaceDE w:val="0"/>
        <w:autoSpaceDN w:val="0"/>
        <w:adjustRightInd w:val="0"/>
        <w:spacing w:after="0" w:line="240" w:lineRule="auto"/>
        <w:ind w:left="518" w:hanging="432"/>
        <w:jc w:val="both"/>
        <w:rPr>
          <w:rFonts w:ascii="Calibri" w:hAnsi="Calibri" w:cs="Arial"/>
        </w:rPr>
      </w:pPr>
      <w:bookmarkStart w:id="0" w:name="page4"/>
      <w:bookmarkEnd w:id="0"/>
      <w:r w:rsidRPr="004F2DEB">
        <w:rPr>
          <w:rFonts w:ascii="Calibri" w:hAnsi="Calibri" w:cs="Arial"/>
        </w:rPr>
        <w:t xml:space="preserve">Non-Executive Directors of a Company will always act in the interest of the Company and ensure that any other business or personal association which they may have, does not involve any conflict of interest with the operations of the Company and his/ her role therein, </w:t>
      </w:r>
    </w:p>
    <w:p w:rsidR="00C455E3" w:rsidRPr="004F2DEB" w:rsidRDefault="00C455E3" w:rsidP="00C455E3">
      <w:pPr>
        <w:widowControl w:val="0"/>
        <w:autoSpaceDE w:val="0"/>
        <w:autoSpaceDN w:val="0"/>
        <w:adjustRightInd w:val="0"/>
        <w:spacing w:after="0" w:line="240" w:lineRule="auto"/>
        <w:rPr>
          <w:rFonts w:ascii="Calibri" w:hAnsi="Calibri" w:cs="Arial"/>
        </w:rPr>
      </w:pPr>
    </w:p>
    <w:p w:rsidR="00C455E3" w:rsidRPr="004F2DEB" w:rsidRDefault="00C455E3" w:rsidP="00C455E3">
      <w:pPr>
        <w:widowControl w:val="0"/>
        <w:numPr>
          <w:ilvl w:val="0"/>
          <w:numId w:val="39"/>
        </w:numPr>
        <w:tabs>
          <w:tab w:val="clear" w:pos="720"/>
          <w:tab w:val="num" w:pos="520"/>
        </w:tabs>
        <w:overflowPunct w:val="0"/>
        <w:autoSpaceDE w:val="0"/>
        <w:autoSpaceDN w:val="0"/>
        <w:adjustRightInd w:val="0"/>
        <w:spacing w:after="0" w:line="240" w:lineRule="auto"/>
        <w:ind w:left="520" w:hanging="430"/>
        <w:jc w:val="both"/>
        <w:rPr>
          <w:rFonts w:ascii="Calibri" w:hAnsi="Calibri" w:cs="Arial"/>
        </w:rPr>
      </w:pPr>
      <w:r w:rsidRPr="004F2DEB">
        <w:rPr>
          <w:rFonts w:ascii="Calibri" w:hAnsi="Calibri" w:cs="Arial"/>
        </w:rPr>
        <w:t xml:space="preserve">Non-Executive Directors will comply with all applicable laws and regulations of all the relevant regulatory and other authorities as may be applicable to such Directors in their individual capacities, </w:t>
      </w:r>
    </w:p>
    <w:p w:rsidR="00C455E3" w:rsidRPr="004F2DEB" w:rsidRDefault="00C455E3" w:rsidP="00C455E3">
      <w:pPr>
        <w:widowControl w:val="0"/>
        <w:autoSpaceDE w:val="0"/>
        <w:autoSpaceDN w:val="0"/>
        <w:adjustRightInd w:val="0"/>
        <w:spacing w:after="0" w:line="240" w:lineRule="auto"/>
        <w:rPr>
          <w:rFonts w:ascii="Calibri" w:hAnsi="Calibri" w:cs="Arial"/>
        </w:rPr>
      </w:pPr>
    </w:p>
    <w:p w:rsidR="00C455E3" w:rsidRPr="004F2DEB" w:rsidRDefault="00C455E3" w:rsidP="00C455E3">
      <w:pPr>
        <w:widowControl w:val="0"/>
        <w:numPr>
          <w:ilvl w:val="0"/>
          <w:numId w:val="39"/>
        </w:numPr>
        <w:tabs>
          <w:tab w:val="clear" w:pos="720"/>
          <w:tab w:val="num" w:pos="520"/>
        </w:tabs>
        <w:overflowPunct w:val="0"/>
        <w:autoSpaceDE w:val="0"/>
        <w:autoSpaceDN w:val="0"/>
        <w:adjustRightInd w:val="0"/>
        <w:spacing w:after="0" w:line="240" w:lineRule="auto"/>
        <w:ind w:left="520" w:hanging="430"/>
        <w:jc w:val="both"/>
        <w:rPr>
          <w:rFonts w:ascii="Calibri" w:hAnsi="Calibri" w:cs="Arial"/>
        </w:rPr>
      </w:pPr>
      <w:r w:rsidRPr="004F2DEB">
        <w:rPr>
          <w:rFonts w:ascii="Calibri" w:hAnsi="Calibri" w:cs="Arial"/>
        </w:rPr>
        <w:t xml:space="preserve">Non-Executive Directors will safeguard the confidentiality of all information received by them by </w:t>
      </w:r>
      <w:r w:rsidRPr="004F2DEB">
        <w:rPr>
          <w:rFonts w:ascii="Calibri" w:hAnsi="Calibri" w:cs="Arial"/>
        </w:rPr>
        <w:lastRenderedPageBreak/>
        <w:t xml:space="preserve">virtue of their position. </w:t>
      </w:r>
    </w:p>
    <w:p w:rsidR="005B4343" w:rsidRDefault="005B4343" w:rsidP="00FF567C">
      <w:pPr>
        <w:pStyle w:val="NormalWeb"/>
        <w:spacing w:before="0" w:beforeAutospacing="0" w:after="0"/>
        <w:jc w:val="both"/>
        <w:rPr>
          <w:rFonts w:asciiTheme="minorHAnsi" w:hAnsiTheme="minorHAnsi" w:cstheme="minorHAnsi"/>
          <w:color w:val="000000"/>
          <w:sz w:val="22"/>
          <w:szCs w:val="22"/>
        </w:rPr>
      </w:pPr>
    </w:p>
    <w:p w:rsidR="004B6A11" w:rsidRPr="004F2DEB" w:rsidRDefault="004B6A11" w:rsidP="00FF567C">
      <w:pPr>
        <w:pStyle w:val="NormalWeb"/>
        <w:spacing w:before="0" w:beforeAutospacing="0" w:after="0"/>
        <w:jc w:val="both"/>
        <w:rPr>
          <w:rFonts w:asciiTheme="minorHAnsi" w:hAnsiTheme="minorHAnsi" w:cstheme="minorHAnsi"/>
          <w:color w:val="000000"/>
          <w:sz w:val="22"/>
          <w:szCs w:val="22"/>
        </w:rPr>
      </w:pPr>
      <w:r w:rsidRPr="004F2DEB">
        <w:rPr>
          <w:rFonts w:asciiTheme="minorHAnsi" w:hAnsiTheme="minorHAnsi" w:cstheme="minorHAnsi"/>
          <w:color w:val="000000"/>
          <w:sz w:val="22"/>
          <w:szCs w:val="22"/>
        </w:rPr>
        <w:t xml:space="preserve">Unless specifically authorised by the Company, they shall not disclose Company and its Business information to constituencies such as the media, the financial community, employees, Members, agents, franchisees, dealers, distributors and importers. </w:t>
      </w:r>
    </w:p>
    <w:p w:rsidR="00FF567C" w:rsidRPr="00DC3C25" w:rsidRDefault="00FF567C" w:rsidP="00FF567C">
      <w:pPr>
        <w:pStyle w:val="NormalWeb"/>
        <w:spacing w:before="0" w:beforeAutospacing="0" w:after="0"/>
        <w:jc w:val="both"/>
        <w:rPr>
          <w:rFonts w:asciiTheme="minorHAnsi" w:hAnsiTheme="minorHAnsi" w:cstheme="minorHAnsi"/>
        </w:rPr>
      </w:pPr>
    </w:p>
    <w:p w:rsidR="004B6A11" w:rsidRPr="004F2DEB" w:rsidRDefault="004B6A11" w:rsidP="00FF567C">
      <w:pPr>
        <w:pStyle w:val="NormalWeb"/>
        <w:spacing w:before="0" w:beforeAutospacing="0" w:after="0"/>
        <w:jc w:val="both"/>
        <w:rPr>
          <w:rFonts w:asciiTheme="minorHAnsi" w:hAnsiTheme="minorHAnsi" w:cstheme="minorHAnsi"/>
          <w:color w:val="000000"/>
          <w:sz w:val="22"/>
          <w:szCs w:val="22"/>
        </w:rPr>
      </w:pPr>
      <w:r w:rsidRPr="004F2DEB">
        <w:rPr>
          <w:rFonts w:asciiTheme="minorHAnsi" w:hAnsiTheme="minorHAnsi" w:cstheme="minorHAnsi"/>
          <w:color w:val="000000"/>
          <w:sz w:val="22"/>
          <w:szCs w:val="22"/>
        </w:rPr>
        <w:t xml:space="preserve">Their </w:t>
      </w:r>
      <w:r w:rsidR="00924DF7" w:rsidRPr="004F2DEB">
        <w:rPr>
          <w:rFonts w:asciiTheme="minorHAnsi" w:hAnsiTheme="minorHAnsi" w:cstheme="minorHAnsi"/>
          <w:color w:val="000000"/>
          <w:sz w:val="22"/>
          <w:szCs w:val="22"/>
        </w:rPr>
        <w:t>Obligati</w:t>
      </w:r>
      <w:r w:rsidRPr="004F2DEB">
        <w:rPr>
          <w:rFonts w:asciiTheme="minorHAnsi" w:hAnsiTheme="minorHAnsi" w:cstheme="minorHAnsi"/>
          <w:color w:val="000000"/>
          <w:sz w:val="22"/>
          <w:szCs w:val="22"/>
        </w:rPr>
        <w:t>on of confidentiality shall survive cessation of their</w:t>
      </w:r>
      <w:r w:rsidR="00FF567C" w:rsidRPr="004F2DEB">
        <w:rPr>
          <w:rFonts w:asciiTheme="minorHAnsi" w:hAnsiTheme="minorHAnsi" w:cstheme="minorHAnsi"/>
          <w:color w:val="000000"/>
          <w:sz w:val="22"/>
          <w:szCs w:val="22"/>
        </w:rPr>
        <w:t xml:space="preserve"> directorship with the Company.</w:t>
      </w:r>
    </w:p>
    <w:p w:rsidR="00FF567C" w:rsidRPr="004F2DEB" w:rsidRDefault="00FF567C" w:rsidP="00FF567C">
      <w:pPr>
        <w:pStyle w:val="NormalWeb"/>
        <w:spacing w:before="0" w:beforeAutospacing="0" w:after="0"/>
        <w:jc w:val="both"/>
        <w:rPr>
          <w:rFonts w:asciiTheme="minorHAnsi" w:hAnsiTheme="minorHAnsi" w:cstheme="minorHAnsi"/>
          <w:sz w:val="22"/>
          <w:szCs w:val="22"/>
        </w:rPr>
      </w:pPr>
    </w:p>
    <w:p w:rsidR="004B6A11" w:rsidRPr="004F2DEB" w:rsidRDefault="004B6A11" w:rsidP="00FF567C">
      <w:pPr>
        <w:pStyle w:val="NormalWeb"/>
        <w:spacing w:before="0" w:beforeAutospacing="0" w:after="0"/>
        <w:jc w:val="both"/>
        <w:rPr>
          <w:rFonts w:asciiTheme="minorHAnsi" w:hAnsiTheme="minorHAnsi" w:cstheme="minorHAnsi"/>
          <w:color w:val="000000"/>
          <w:sz w:val="22"/>
          <w:szCs w:val="22"/>
        </w:rPr>
      </w:pPr>
      <w:r w:rsidRPr="004F2DEB">
        <w:rPr>
          <w:rFonts w:asciiTheme="minorHAnsi" w:hAnsiTheme="minorHAnsi" w:cstheme="minorHAnsi"/>
          <w:color w:val="000000"/>
          <w:sz w:val="22"/>
          <w:szCs w:val="22"/>
        </w:rPr>
        <w:t xml:space="preserve">The provisions of both, Securities and Exchange Board of India (Prohibition of Insider Trading) Regulations, 1992 and the </w:t>
      </w:r>
      <w:proofErr w:type="spellStart"/>
      <w:r w:rsidR="00DD4BE2" w:rsidRPr="004F2DEB">
        <w:rPr>
          <w:rFonts w:asciiTheme="minorHAnsi" w:hAnsiTheme="minorHAnsi" w:cstheme="minorHAnsi"/>
          <w:color w:val="000000"/>
          <w:sz w:val="22"/>
          <w:szCs w:val="22"/>
          <w:lang w:val="en-US"/>
        </w:rPr>
        <w:t>Phyto</w:t>
      </w:r>
      <w:proofErr w:type="spellEnd"/>
      <w:r w:rsidR="00DD4BE2" w:rsidRPr="004F2DEB">
        <w:rPr>
          <w:rFonts w:asciiTheme="minorHAnsi" w:hAnsiTheme="minorHAnsi" w:cstheme="minorHAnsi"/>
          <w:color w:val="000000"/>
          <w:sz w:val="22"/>
          <w:szCs w:val="22"/>
          <w:lang w:val="en-US"/>
        </w:rPr>
        <w:t xml:space="preserve"> </w:t>
      </w:r>
      <w:proofErr w:type="spellStart"/>
      <w:r w:rsidR="00DD4BE2" w:rsidRPr="004F2DEB">
        <w:rPr>
          <w:rFonts w:asciiTheme="minorHAnsi" w:hAnsiTheme="minorHAnsi" w:cstheme="minorHAnsi"/>
          <w:color w:val="000000"/>
          <w:sz w:val="22"/>
          <w:szCs w:val="22"/>
          <w:lang w:val="en-US"/>
        </w:rPr>
        <w:t>C</w:t>
      </w:r>
      <w:r w:rsidR="00514DD4" w:rsidRPr="004F2DEB">
        <w:rPr>
          <w:rFonts w:asciiTheme="minorHAnsi" w:hAnsiTheme="minorHAnsi" w:cstheme="minorHAnsi"/>
          <w:color w:val="000000"/>
          <w:sz w:val="22"/>
          <w:szCs w:val="22"/>
          <w:lang w:val="en-US"/>
        </w:rPr>
        <w:t>hem</w:t>
      </w:r>
      <w:proofErr w:type="spellEnd"/>
      <w:r w:rsidR="00514DD4" w:rsidRPr="004F2DEB">
        <w:rPr>
          <w:rFonts w:asciiTheme="minorHAnsi" w:hAnsiTheme="minorHAnsi" w:cstheme="minorHAnsi"/>
          <w:color w:val="000000"/>
          <w:sz w:val="22"/>
          <w:szCs w:val="22"/>
          <w:lang w:val="en-US"/>
        </w:rPr>
        <w:t xml:space="preserve"> (India) Limited's </w:t>
      </w:r>
      <w:r w:rsidRPr="004F2DEB">
        <w:rPr>
          <w:rFonts w:asciiTheme="minorHAnsi" w:hAnsiTheme="minorHAnsi" w:cstheme="minorHAnsi"/>
          <w:color w:val="000000"/>
          <w:sz w:val="22"/>
          <w:szCs w:val="22"/>
        </w:rPr>
        <w:t>Code of Conduct on Prevention of Insider Trading, prohibiting disclosure or use of unpublished price sensitive information would be applicabl</w:t>
      </w:r>
      <w:r w:rsidR="00FF567C" w:rsidRPr="004F2DEB">
        <w:rPr>
          <w:rFonts w:asciiTheme="minorHAnsi" w:hAnsiTheme="minorHAnsi" w:cstheme="minorHAnsi"/>
          <w:color w:val="000000"/>
          <w:sz w:val="22"/>
          <w:szCs w:val="22"/>
        </w:rPr>
        <w:t>e to the Independent Directors.</w:t>
      </w:r>
    </w:p>
    <w:p w:rsidR="00FF567C" w:rsidRPr="004F2DEB" w:rsidRDefault="00FF567C" w:rsidP="00FF567C">
      <w:pPr>
        <w:pStyle w:val="NormalWeb"/>
        <w:spacing w:before="0" w:beforeAutospacing="0" w:after="0"/>
        <w:jc w:val="both"/>
        <w:rPr>
          <w:rFonts w:asciiTheme="minorHAnsi" w:hAnsiTheme="minorHAnsi" w:cstheme="minorHAnsi"/>
          <w:sz w:val="22"/>
          <w:szCs w:val="22"/>
        </w:rPr>
      </w:pPr>
    </w:p>
    <w:p w:rsidR="004B6A11" w:rsidRPr="004F2DEB" w:rsidRDefault="004B6A11" w:rsidP="00FF567C">
      <w:pPr>
        <w:pStyle w:val="NormalWeb"/>
        <w:spacing w:before="0" w:beforeAutospacing="0" w:after="0"/>
        <w:jc w:val="both"/>
        <w:rPr>
          <w:rFonts w:asciiTheme="minorHAnsi" w:hAnsiTheme="minorHAnsi" w:cstheme="minorHAnsi"/>
          <w:color w:val="000000"/>
          <w:sz w:val="22"/>
          <w:szCs w:val="22"/>
        </w:rPr>
      </w:pPr>
      <w:r w:rsidRPr="004F2DEB">
        <w:rPr>
          <w:rFonts w:asciiTheme="minorHAnsi" w:hAnsiTheme="minorHAnsi" w:cstheme="minorHAnsi"/>
          <w:color w:val="000000"/>
          <w:sz w:val="22"/>
          <w:szCs w:val="22"/>
        </w:rPr>
        <w:t>Additionally, Independent Directors shall not participate in any business activity which might impede the application of their independent judgment in th</w:t>
      </w:r>
      <w:r w:rsidR="00FF567C" w:rsidRPr="004F2DEB">
        <w:rPr>
          <w:rFonts w:asciiTheme="minorHAnsi" w:hAnsiTheme="minorHAnsi" w:cstheme="minorHAnsi"/>
          <w:color w:val="000000"/>
          <w:sz w:val="22"/>
          <w:szCs w:val="22"/>
        </w:rPr>
        <w:t>e best interest of the Company.</w:t>
      </w:r>
    </w:p>
    <w:p w:rsidR="00FF567C" w:rsidRPr="004F2DEB" w:rsidRDefault="00FF567C" w:rsidP="00FF567C">
      <w:pPr>
        <w:pStyle w:val="NormalWeb"/>
        <w:spacing w:before="0" w:beforeAutospacing="0" w:after="0"/>
        <w:jc w:val="both"/>
        <w:rPr>
          <w:rFonts w:asciiTheme="minorHAnsi" w:hAnsiTheme="minorHAnsi" w:cstheme="minorHAnsi"/>
          <w:sz w:val="22"/>
          <w:szCs w:val="22"/>
        </w:rPr>
      </w:pPr>
    </w:p>
    <w:p w:rsidR="004B6A11" w:rsidRPr="004F2DEB" w:rsidRDefault="004B6A11" w:rsidP="00F30331">
      <w:pPr>
        <w:pStyle w:val="NormalWeb"/>
        <w:numPr>
          <w:ilvl w:val="0"/>
          <w:numId w:val="17"/>
        </w:numPr>
        <w:spacing w:before="0" w:beforeAutospacing="0" w:after="0"/>
        <w:jc w:val="both"/>
        <w:rPr>
          <w:rFonts w:asciiTheme="minorHAnsi" w:hAnsiTheme="minorHAnsi" w:cstheme="minorHAnsi"/>
          <w:i/>
          <w:sz w:val="26"/>
          <w:szCs w:val="26"/>
        </w:rPr>
      </w:pPr>
      <w:r w:rsidRPr="004F2DEB">
        <w:rPr>
          <w:rFonts w:asciiTheme="minorHAnsi" w:hAnsiTheme="minorHAnsi" w:cstheme="minorHAnsi"/>
          <w:b/>
          <w:bCs/>
          <w:i/>
          <w:color w:val="000000"/>
          <w:sz w:val="26"/>
          <w:szCs w:val="26"/>
          <w:u w:val="single"/>
        </w:rPr>
        <w:t>Training and Development:</w:t>
      </w:r>
    </w:p>
    <w:p w:rsidR="004B6A11" w:rsidRPr="00DC3C25" w:rsidRDefault="004B6A11" w:rsidP="004B6A11">
      <w:pPr>
        <w:pStyle w:val="NormalWeb"/>
        <w:spacing w:before="0" w:beforeAutospacing="0" w:after="0"/>
        <w:ind w:left="68"/>
        <w:jc w:val="both"/>
        <w:rPr>
          <w:rFonts w:asciiTheme="minorHAnsi" w:hAnsiTheme="minorHAnsi" w:cstheme="minorHAnsi"/>
        </w:rPr>
      </w:pPr>
    </w:p>
    <w:p w:rsidR="004B6A11" w:rsidRPr="004F2DEB" w:rsidRDefault="004B6A11" w:rsidP="00F30331">
      <w:pPr>
        <w:pStyle w:val="NormalWeb"/>
        <w:spacing w:before="0" w:beforeAutospacing="0" w:after="0"/>
        <w:jc w:val="both"/>
        <w:rPr>
          <w:rFonts w:asciiTheme="minorHAnsi" w:hAnsiTheme="minorHAnsi" w:cstheme="minorHAnsi"/>
          <w:color w:val="000000"/>
          <w:sz w:val="22"/>
          <w:szCs w:val="22"/>
        </w:rPr>
      </w:pPr>
      <w:r w:rsidRPr="004F2DEB">
        <w:rPr>
          <w:rFonts w:asciiTheme="minorHAnsi" w:hAnsiTheme="minorHAnsi" w:cstheme="minorHAnsi"/>
          <w:color w:val="000000"/>
          <w:sz w:val="22"/>
          <w:szCs w:val="22"/>
        </w:rPr>
        <w:t>The Company shall conduct familiarization programs for its Independent Directors which may include any or all of the followin</w:t>
      </w:r>
      <w:r w:rsidR="00F30331" w:rsidRPr="004F2DEB">
        <w:rPr>
          <w:rFonts w:asciiTheme="minorHAnsi" w:hAnsiTheme="minorHAnsi" w:cstheme="minorHAnsi"/>
          <w:color w:val="000000"/>
          <w:sz w:val="22"/>
          <w:szCs w:val="22"/>
        </w:rPr>
        <w:t>g:</w:t>
      </w:r>
    </w:p>
    <w:p w:rsidR="00F30331" w:rsidRPr="004F2DEB" w:rsidRDefault="00F30331" w:rsidP="00F30331">
      <w:pPr>
        <w:pStyle w:val="NormalWeb"/>
        <w:spacing w:before="0" w:beforeAutospacing="0" w:after="0"/>
        <w:ind w:left="360"/>
        <w:jc w:val="both"/>
        <w:rPr>
          <w:rFonts w:asciiTheme="minorHAnsi" w:hAnsiTheme="minorHAnsi" w:cstheme="minorHAnsi"/>
          <w:sz w:val="22"/>
          <w:szCs w:val="22"/>
        </w:rPr>
      </w:pPr>
    </w:p>
    <w:p w:rsidR="004B6A11" w:rsidRPr="004F2DEB" w:rsidRDefault="004B6A11" w:rsidP="004B6A11">
      <w:pPr>
        <w:pStyle w:val="NormalWeb"/>
        <w:numPr>
          <w:ilvl w:val="0"/>
          <w:numId w:val="30"/>
        </w:numPr>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 xml:space="preserve">Board roles and responsibilities, whilst seeking to build working relationship among the Board members, </w:t>
      </w:r>
    </w:p>
    <w:p w:rsidR="004B6A11" w:rsidRPr="004F2DEB" w:rsidRDefault="004B6A11" w:rsidP="004B6A11">
      <w:pPr>
        <w:pStyle w:val="NormalWeb"/>
        <w:spacing w:before="0" w:beforeAutospacing="0" w:after="0"/>
        <w:jc w:val="both"/>
        <w:rPr>
          <w:rFonts w:asciiTheme="minorHAnsi" w:hAnsiTheme="minorHAnsi" w:cstheme="minorHAnsi"/>
          <w:sz w:val="22"/>
          <w:szCs w:val="22"/>
        </w:rPr>
      </w:pPr>
    </w:p>
    <w:p w:rsidR="004B6A11" w:rsidRPr="004F2DEB" w:rsidRDefault="004B6A11" w:rsidP="004B6A11">
      <w:pPr>
        <w:pStyle w:val="NormalWeb"/>
        <w:numPr>
          <w:ilvl w:val="0"/>
          <w:numId w:val="31"/>
        </w:numPr>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 xml:space="preserve">Company’s vision, strategic direction, core values, ethics and corporate governance practices, </w:t>
      </w:r>
    </w:p>
    <w:p w:rsidR="004B6A11" w:rsidRPr="004F2DEB" w:rsidRDefault="004B6A11" w:rsidP="004B6A11">
      <w:pPr>
        <w:pStyle w:val="NormalWeb"/>
        <w:spacing w:before="0" w:beforeAutospacing="0" w:after="0"/>
        <w:jc w:val="both"/>
        <w:rPr>
          <w:rFonts w:asciiTheme="minorHAnsi" w:hAnsiTheme="minorHAnsi" w:cstheme="minorHAnsi"/>
          <w:sz w:val="22"/>
          <w:szCs w:val="22"/>
        </w:rPr>
      </w:pPr>
    </w:p>
    <w:p w:rsidR="004B6A11" w:rsidRPr="004F2DEB" w:rsidRDefault="004B6A11" w:rsidP="004B6A11">
      <w:pPr>
        <w:pStyle w:val="NormalWeb"/>
        <w:numPr>
          <w:ilvl w:val="0"/>
          <w:numId w:val="32"/>
        </w:numPr>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 xml:space="preserve">Familiarization with financial matters, management team and business operations, </w:t>
      </w:r>
    </w:p>
    <w:p w:rsidR="004B6A11" w:rsidRPr="004F2DEB" w:rsidRDefault="004B6A11" w:rsidP="004B6A11">
      <w:pPr>
        <w:pStyle w:val="NormalWeb"/>
        <w:spacing w:before="0" w:beforeAutospacing="0" w:after="0"/>
        <w:jc w:val="both"/>
        <w:rPr>
          <w:rFonts w:asciiTheme="minorHAnsi" w:hAnsiTheme="minorHAnsi" w:cstheme="minorHAnsi"/>
          <w:sz w:val="22"/>
          <w:szCs w:val="22"/>
        </w:rPr>
      </w:pPr>
    </w:p>
    <w:p w:rsidR="004B6A11" w:rsidRPr="004F2DEB" w:rsidRDefault="004B6A11" w:rsidP="004B6A11">
      <w:pPr>
        <w:pStyle w:val="NormalWeb"/>
        <w:numPr>
          <w:ilvl w:val="0"/>
          <w:numId w:val="33"/>
        </w:numPr>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 xml:space="preserve">Meetings with stakeholders, visits to business locations and meetings with senior and middle management. </w:t>
      </w:r>
    </w:p>
    <w:p w:rsidR="002101AB" w:rsidRPr="00DC3C25" w:rsidRDefault="002101AB" w:rsidP="004B6A11">
      <w:pPr>
        <w:pStyle w:val="NormalWeb"/>
        <w:spacing w:before="0" w:beforeAutospacing="0" w:after="0"/>
        <w:ind w:left="720"/>
        <w:jc w:val="both"/>
        <w:rPr>
          <w:rFonts w:asciiTheme="minorHAnsi" w:hAnsiTheme="minorHAnsi" w:cstheme="minorHAnsi"/>
          <w:color w:val="000000"/>
        </w:rPr>
      </w:pPr>
    </w:p>
    <w:p w:rsidR="004B6A11" w:rsidRPr="004F2DEB" w:rsidRDefault="004B6A11" w:rsidP="002101AB">
      <w:pPr>
        <w:pStyle w:val="NormalWeb"/>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The Company may, as may be required, support Directors to continually update their skills and knowledge and improve their familiarity with the Company and its Business.</w:t>
      </w:r>
    </w:p>
    <w:p w:rsidR="004B6A11" w:rsidRPr="00DC3C25" w:rsidRDefault="004B6A11" w:rsidP="004B6A11">
      <w:pPr>
        <w:pStyle w:val="NormalWeb"/>
        <w:spacing w:before="0" w:beforeAutospacing="0" w:after="0"/>
        <w:jc w:val="both"/>
        <w:rPr>
          <w:rFonts w:asciiTheme="minorHAnsi" w:hAnsiTheme="minorHAnsi" w:cstheme="minorHAnsi"/>
        </w:rPr>
      </w:pPr>
    </w:p>
    <w:p w:rsidR="004B6A11" w:rsidRPr="004F2DEB" w:rsidRDefault="004B6A11" w:rsidP="002101AB">
      <w:pPr>
        <w:pStyle w:val="NormalWeb"/>
        <w:numPr>
          <w:ilvl w:val="0"/>
          <w:numId w:val="17"/>
        </w:numPr>
        <w:spacing w:before="0" w:beforeAutospacing="0" w:after="0"/>
        <w:jc w:val="both"/>
        <w:rPr>
          <w:rFonts w:asciiTheme="minorHAnsi" w:hAnsiTheme="minorHAnsi" w:cstheme="minorHAnsi"/>
          <w:i/>
          <w:sz w:val="26"/>
          <w:szCs w:val="26"/>
        </w:rPr>
      </w:pPr>
      <w:r w:rsidRPr="004F2DEB">
        <w:rPr>
          <w:rFonts w:asciiTheme="minorHAnsi" w:hAnsiTheme="minorHAnsi" w:cstheme="minorHAnsi"/>
          <w:b/>
          <w:bCs/>
          <w:i/>
          <w:color w:val="000000"/>
          <w:sz w:val="26"/>
          <w:szCs w:val="26"/>
          <w:u w:val="single"/>
        </w:rPr>
        <w:t>Performance Appraisal/Evaluation Process:</w:t>
      </w:r>
    </w:p>
    <w:p w:rsidR="004B6A11" w:rsidRPr="00DC3C25" w:rsidRDefault="004B6A11" w:rsidP="004B6A11">
      <w:pPr>
        <w:pStyle w:val="NormalWeb"/>
        <w:spacing w:before="0" w:beforeAutospacing="0" w:after="0"/>
        <w:ind w:left="68"/>
        <w:jc w:val="both"/>
        <w:rPr>
          <w:rFonts w:asciiTheme="minorHAnsi" w:hAnsiTheme="minorHAnsi" w:cstheme="minorHAnsi"/>
        </w:rPr>
      </w:pPr>
    </w:p>
    <w:p w:rsidR="004B6A11" w:rsidRPr="004F2DEB" w:rsidRDefault="004B6A11" w:rsidP="002101AB">
      <w:pPr>
        <w:pStyle w:val="NormalWeb"/>
        <w:spacing w:before="0" w:beforeAutospacing="0" w:after="0"/>
        <w:jc w:val="both"/>
        <w:rPr>
          <w:rFonts w:asciiTheme="minorHAnsi" w:hAnsiTheme="minorHAnsi" w:cstheme="minorHAnsi"/>
          <w:color w:val="000000"/>
          <w:sz w:val="22"/>
          <w:szCs w:val="22"/>
        </w:rPr>
      </w:pPr>
      <w:r w:rsidRPr="004F2DEB">
        <w:rPr>
          <w:rFonts w:asciiTheme="minorHAnsi" w:hAnsiTheme="minorHAnsi" w:cstheme="minorHAnsi"/>
          <w:color w:val="000000"/>
          <w:sz w:val="22"/>
          <w:szCs w:val="22"/>
        </w:rPr>
        <w:t>As a member of the Board, their performance as well as the performance of the entire Board and its Committees will be evaluated annually. Evaluation of each director shall be done by all the other directors. The criteria for evaluation shall be disclosed in the Company’s Annual Report. However, the actual evaluation process shall remain confidential and shall be a constructive mechanism to improve the effectiveness of the Board / Committee.</w:t>
      </w:r>
    </w:p>
    <w:p w:rsidR="002101AB" w:rsidRPr="004F2DEB" w:rsidRDefault="002101AB" w:rsidP="002101AB">
      <w:pPr>
        <w:pStyle w:val="NormalWeb"/>
        <w:spacing w:before="0" w:beforeAutospacing="0" w:after="0"/>
        <w:jc w:val="both"/>
        <w:rPr>
          <w:rFonts w:asciiTheme="minorHAnsi" w:hAnsiTheme="minorHAnsi" w:cstheme="minorHAnsi"/>
          <w:sz w:val="22"/>
          <w:szCs w:val="22"/>
        </w:rPr>
      </w:pPr>
    </w:p>
    <w:p w:rsidR="004B6A11" w:rsidRPr="004F2DEB" w:rsidRDefault="004B6A11" w:rsidP="002101AB">
      <w:pPr>
        <w:pStyle w:val="NormalWeb"/>
        <w:numPr>
          <w:ilvl w:val="0"/>
          <w:numId w:val="17"/>
        </w:numPr>
        <w:spacing w:before="0" w:beforeAutospacing="0" w:after="0"/>
        <w:jc w:val="both"/>
        <w:rPr>
          <w:rFonts w:asciiTheme="minorHAnsi" w:hAnsiTheme="minorHAnsi" w:cstheme="minorHAnsi"/>
          <w:i/>
          <w:sz w:val="26"/>
          <w:szCs w:val="26"/>
        </w:rPr>
      </w:pPr>
      <w:r w:rsidRPr="004F2DEB">
        <w:rPr>
          <w:rFonts w:asciiTheme="minorHAnsi" w:hAnsiTheme="minorHAnsi" w:cstheme="minorHAnsi"/>
          <w:b/>
          <w:bCs/>
          <w:i/>
          <w:color w:val="000000"/>
          <w:sz w:val="26"/>
          <w:szCs w:val="26"/>
          <w:u w:val="single"/>
        </w:rPr>
        <w:t>Disclosures, other Directorships and business interests:</w:t>
      </w:r>
    </w:p>
    <w:p w:rsidR="004B6A11" w:rsidRPr="00DC3C25" w:rsidRDefault="004B6A11" w:rsidP="004B6A11">
      <w:pPr>
        <w:pStyle w:val="NormalWeb"/>
        <w:spacing w:before="0" w:beforeAutospacing="0" w:after="0"/>
        <w:ind w:left="68"/>
        <w:jc w:val="both"/>
        <w:rPr>
          <w:rFonts w:asciiTheme="minorHAnsi" w:hAnsiTheme="minorHAnsi" w:cstheme="minorHAnsi"/>
        </w:rPr>
      </w:pPr>
    </w:p>
    <w:p w:rsidR="004B6A11" w:rsidRPr="004F2DEB" w:rsidRDefault="004B6A11" w:rsidP="002101AB">
      <w:pPr>
        <w:pStyle w:val="NormalWeb"/>
        <w:spacing w:before="0" w:beforeAutospacing="0" w:after="0"/>
        <w:jc w:val="both"/>
        <w:rPr>
          <w:rFonts w:asciiTheme="minorHAnsi" w:hAnsiTheme="minorHAnsi" w:cstheme="minorHAnsi"/>
          <w:color w:val="000000"/>
          <w:sz w:val="22"/>
          <w:szCs w:val="22"/>
        </w:rPr>
      </w:pPr>
      <w:r w:rsidRPr="004F2DEB">
        <w:rPr>
          <w:rFonts w:asciiTheme="minorHAnsi" w:hAnsiTheme="minorHAnsi" w:cstheme="minorHAnsi"/>
          <w:color w:val="000000"/>
          <w:sz w:val="22"/>
          <w:szCs w:val="22"/>
        </w:rPr>
        <w:t xml:space="preserve">During the Term, they agree to promptly notify the Company of any change in their directorships, Memberships and provide such other disclosures and information as may be required under the applicable laws. They also agree that upon becoming aware of any potential conflict of interest with </w:t>
      </w:r>
      <w:r w:rsidR="002101AB" w:rsidRPr="004F2DEB">
        <w:rPr>
          <w:rFonts w:asciiTheme="minorHAnsi" w:hAnsiTheme="minorHAnsi" w:cstheme="minorHAnsi"/>
          <w:color w:val="000000"/>
          <w:sz w:val="22"/>
          <w:szCs w:val="22"/>
        </w:rPr>
        <w:lastRenderedPageBreak/>
        <w:t>their</w:t>
      </w:r>
      <w:r w:rsidRPr="004F2DEB">
        <w:rPr>
          <w:rFonts w:asciiTheme="minorHAnsi" w:hAnsiTheme="minorHAnsi" w:cstheme="minorHAnsi"/>
          <w:color w:val="000000"/>
          <w:sz w:val="22"/>
          <w:szCs w:val="22"/>
        </w:rPr>
        <w:t xml:space="preserve"> position as Independent Director of the Company, they shall promptly disclose the same to the Chairman and the Company Secretary.</w:t>
      </w:r>
    </w:p>
    <w:p w:rsidR="002101AB" w:rsidRPr="00DC3C25" w:rsidRDefault="002101AB" w:rsidP="002101AB">
      <w:pPr>
        <w:pStyle w:val="NormalWeb"/>
        <w:spacing w:before="0" w:beforeAutospacing="0" w:after="0"/>
        <w:jc w:val="both"/>
        <w:rPr>
          <w:rFonts w:asciiTheme="minorHAnsi" w:hAnsiTheme="minorHAnsi" w:cstheme="minorHAnsi"/>
        </w:rPr>
      </w:pPr>
    </w:p>
    <w:p w:rsidR="004B6A11" w:rsidRPr="004F2DEB" w:rsidRDefault="004B6A11" w:rsidP="002101AB">
      <w:pPr>
        <w:pStyle w:val="NormalWeb"/>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 xml:space="preserve">During their Term, they agree to promptly provide a declaration under Section 149(7) of the 2013 Act, upon any change in circumstances which may affect their status as an Independent Director. </w:t>
      </w:r>
    </w:p>
    <w:p w:rsidR="004B6A11" w:rsidRPr="00DC3C25" w:rsidRDefault="004B6A11" w:rsidP="004B6A11">
      <w:pPr>
        <w:pStyle w:val="NormalWeb"/>
        <w:spacing w:before="0" w:beforeAutospacing="0" w:after="0"/>
        <w:jc w:val="both"/>
        <w:rPr>
          <w:rFonts w:asciiTheme="minorHAnsi" w:hAnsiTheme="minorHAnsi" w:cstheme="minorHAnsi"/>
        </w:rPr>
      </w:pPr>
    </w:p>
    <w:p w:rsidR="004B6A11" w:rsidRPr="004F2DEB" w:rsidRDefault="004B6A11" w:rsidP="00DC725B">
      <w:pPr>
        <w:pStyle w:val="NormalWeb"/>
        <w:numPr>
          <w:ilvl w:val="0"/>
          <w:numId w:val="17"/>
        </w:numPr>
        <w:spacing w:before="0" w:beforeAutospacing="0" w:after="0"/>
        <w:jc w:val="both"/>
        <w:rPr>
          <w:rFonts w:asciiTheme="minorHAnsi" w:hAnsiTheme="minorHAnsi" w:cstheme="minorHAnsi"/>
          <w:i/>
          <w:sz w:val="26"/>
          <w:szCs w:val="26"/>
        </w:rPr>
      </w:pPr>
      <w:r w:rsidRPr="004F2DEB">
        <w:rPr>
          <w:rFonts w:asciiTheme="minorHAnsi" w:hAnsiTheme="minorHAnsi" w:cstheme="minorHAnsi"/>
          <w:b/>
          <w:bCs/>
          <w:i/>
          <w:color w:val="000000"/>
          <w:sz w:val="26"/>
          <w:szCs w:val="26"/>
          <w:u w:val="single"/>
        </w:rPr>
        <w:t>Disengagement:</w:t>
      </w:r>
    </w:p>
    <w:p w:rsidR="004B6A11" w:rsidRPr="00DC3C25" w:rsidRDefault="004B6A11" w:rsidP="004B6A11">
      <w:pPr>
        <w:pStyle w:val="NormalWeb"/>
        <w:spacing w:before="0" w:beforeAutospacing="0" w:after="0"/>
        <w:ind w:left="68"/>
        <w:jc w:val="both"/>
        <w:rPr>
          <w:rFonts w:asciiTheme="minorHAnsi" w:hAnsiTheme="minorHAnsi" w:cstheme="minorHAnsi"/>
        </w:rPr>
      </w:pPr>
    </w:p>
    <w:p w:rsidR="004B6A11" w:rsidRPr="004F2DEB" w:rsidRDefault="004B6A11" w:rsidP="00DC725B">
      <w:pPr>
        <w:pStyle w:val="NormalWeb"/>
        <w:spacing w:before="0" w:beforeAutospacing="0" w:after="0"/>
        <w:jc w:val="both"/>
        <w:rPr>
          <w:rFonts w:asciiTheme="minorHAnsi" w:hAnsiTheme="minorHAnsi" w:cstheme="minorHAnsi"/>
          <w:color w:val="000000"/>
          <w:sz w:val="22"/>
          <w:szCs w:val="22"/>
        </w:rPr>
      </w:pPr>
      <w:r w:rsidRPr="004F2DEB">
        <w:rPr>
          <w:rFonts w:asciiTheme="minorHAnsi" w:hAnsiTheme="minorHAnsi" w:cstheme="minorHAnsi"/>
          <w:color w:val="000000"/>
          <w:sz w:val="22"/>
          <w:szCs w:val="22"/>
        </w:rPr>
        <w:t>They may resign from the directorship of the Company by giving a notice in writing to the Company stating the reasons for resignation. The resignation shall take effect from the date on which the notice is received by the Company or the date, if any, specified in the notice, whichever is later.</w:t>
      </w:r>
    </w:p>
    <w:p w:rsidR="00DC725B" w:rsidRPr="004F2DEB" w:rsidRDefault="00DC725B" w:rsidP="00DC725B">
      <w:pPr>
        <w:pStyle w:val="NormalWeb"/>
        <w:spacing w:before="0" w:beforeAutospacing="0" w:after="0"/>
        <w:jc w:val="both"/>
        <w:rPr>
          <w:rFonts w:asciiTheme="minorHAnsi" w:hAnsiTheme="minorHAnsi" w:cstheme="minorHAnsi"/>
          <w:sz w:val="22"/>
          <w:szCs w:val="22"/>
        </w:rPr>
      </w:pPr>
    </w:p>
    <w:p w:rsidR="004B6A11" w:rsidRPr="004F2DEB" w:rsidRDefault="004B6A11" w:rsidP="00DC725B">
      <w:pPr>
        <w:pStyle w:val="NormalWeb"/>
        <w:spacing w:before="0" w:beforeAutospacing="0" w:after="0"/>
        <w:jc w:val="both"/>
        <w:rPr>
          <w:rFonts w:asciiTheme="minorHAnsi" w:hAnsiTheme="minorHAnsi" w:cstheme="minorHAnsi"/>
          <w:color w:val="000000"/>
          <w:sz w:val="22"/>
          <w:szCs w:val="22"/>
        </w:rPr>
      </w:pPr>
      <w:r w:rsidRPr="004F2DEB">
        <w:rPr>
          <w:rFonts w:asciiTheme="minorHAnsi" w:hAnsiTheme="minorHAnsi" w:cstheme="minorHAnsi"/>
          <w:color w:val="000000"/>
          <w:sz w:val="22"/>
          <w:szCs w:val="22"/>
        </w:rPr>
        <w:t>Their directorship on the Board of the Company shall cease in accordance with law. The Company may disengage Independent Directors prior to completion of Term (subject to compliance of relevant provisions of the 2013 Act)</w:t>
      </w:r>
      <w:r w:rsidR="00DC725B" w:rsidRPr="004F2DEB">
        <w:rPr>
          <w:rFonts w:asciiTheme="minorHAnsi" w:hAnsiTheme="minorHAnsi" w:cstheme="minorHAnsi"/>
          <w:color w:val="000000"/>
          <w:sz w:val="22"/>
          <w:szCs w:val="22"/>
        </w:rPr>
        <w:t xml:space="preserve"> upon</w:t>
      </w:r>
    </w:p>
    <w:p w:rsidR="00DC725B" w:rsidRPr="004F2DEB" w:rsidRDefault="00DC725B" w:rsidP="00DC725B">
      <w:pPr>
        <w:pStyle w:val="NormalWeb"/>
        <w:spacing w:before="0" w:beforeAutospacing="0" w:after="0"/>
        <w:jc w:val="both"/>
        <w:rPr>
          <w:rFonts w:asciiTheme="minorHAnsi" w:hAnsiTheme="minorHAnsi" w:cstheme="minorHAnsi"/>
          <w:sz w:val="22"/>
          <w:szCs w:val="22"/>
        </w:rPr>
      </w:pPr>
    </w:p>
    <w:p w:rsidR="004B6A11" w:rsidRPr="004F2DEB" w:rsidRDefault="004B6A11" w:rsidP="004B6A11">
      <w:pPr>
        <w:pStyle w:val="NormalWeb"/>
        <w:numPr>
          <w:ilvl w:val="0"/>
          <w:numId w:val="37"/>
        </w:numPr>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Violation of any provision of the Code of Conduct as applica</w:t>
      </w:r>
      <w:r w:rsidR="00DC725B" w:rsidRPr="004F2DEB">
        <w:rPr>
          <w:rFonts w:asciiTheme="minorHAnsi" w:hAnsiTheme="minorHAnsi" w:cstheme="minorHAnsi"/>
          <w:color w:val="000000"/>
          <w:sz w:val="22"/>
          <w:szCs w:val="22"/>
        </w:rPr>
        <w:t>ble to Non-Executive Directors.</w:t>
      </w:r>
    </w:p>
    <w:p w:rsidR="004B6A11" w:rsidRPr="004F2DEB" w:rsidRDefault="004B6A11" w:rsidP="004B6A11">
      <w:pPr>
        <w:pStyle w:val="NormalWeb"/>
        <w:spacing w:before="0" w:beforeAutospacing="0" w:after="0"/>
        <w:jc w:val="both"/>
        <w:rPr>
          <w:rFonts w:asciiTheme="minorHAnsi" w:hAnsiTheme="minorHAnsi" w:cstheme="minorHAnsi"/>
          <w:sz w:val="22"/>
          <w:szCs w:val="22"/>
        </w:rPr>
      </w:pPr>
    </w:p>
    <w:p w:rsidR="004B6A11" w:rsidRPr="004F2DEB" w:rsidRDefault="004B6A11" w:rsidP="004B6A11">
      <w:pPr>
        <w:pStyle w:val="NormalWeb"/>
        <w:numPr>
          <w:ilvl w:val="0"/>
          <w:numId w:val="38"/>
        </w:numPr>
        <w:spacing w:before="0" w:beforeAutospacing="0" w:after="0"/>
        <w:jc w:val="both"/>
        <w:rPr>
          <w:rFonts w:asciiTheme="minorHAnsi" w:hAnsiTheme="minorHAnsi" w:cstheme="minorHAnsi"/>
          <w:sz w:val="22"/>
          <w:szCs w:val="22"/>
        </w:rPr>
      </w:pPr>
      <w:r w:rsidRPr="004F2DEB">
        <w:rPr>
          <w:rFonts w:asciiTheme="minorHAnsi" w:hAnsiTheme="minorHAnsi" w:cstheme="minorHAnsi"/>
          <w:color w:val="000000"/>
          <w:sz w:val="22"/>
          <w:szCs w:val="22"/>
        </w:rPr>
        <w:t xml:space="preserve">Upon the director failing to meet the criteria for independence as envisaged in Section 149(6) of the 2013 Act or </w:t>
      </w:r>
      <w:r w:rsidR="00CC11A2" w:rsidRPr="00CC11A2">
        <w:rPr>
          <w:rFonts w:asciiTheme="minorHAnsi" w:hAnsiTheme="minorHAnsi" w:cstheme="minorHAnsi"/>
          <w:bCs/>
          <w:color w:val="000000"/>
          <w:sz w:val="22"/>
          <w:szCs w:val="22"/>
          <w:lang w:val="en-US"/>
        </w:rPr>
        <w:t>Regulation 17 and 25 of the SEBI(Listing Obligations and Disclosure Requirements) Regulations, 2015</w:t>
      </w:r>
    </w:p>
    <w:p w:rsidR="00641C47" w:rsidRPr="004F2DEB" w:rsidRDefault="00641C47" w:rsidP="00641C47">
      <w:pPr>
        <w:jc w:val="center"/>
        <w:rPr>
          <w:rFonts w:cstheme="minorHAnsi"/>
          <w:b/>
        </w:rPr>
      </w:pPr>
    </w:p>
    <w:p w:rsidR="002912E1" w:rsidRDefault="00641C47" w:rsidP="00641C47">
      <w:pPr>
        <w:jc w:val="center"/>
        <w:rPr>
          <w:rFonts w:cstheme="minorHAnsi"/>
          <w:b/>
          <w:sz w:val="28"/>
        </w:rPr>
      </w:pPr>
      <w:r w:rsidRPr="00DC3C25">
        <w:rPr>
          <w:rFonts w:cstheme="minorHAnsi"/>
          <w:b/>
          <w:sz w:val="28"/>
        </w:rPr>
        <w:t>***</w:t>
      </w:r>
    </w:p>
    <w:p w:rsidR="00396401" w:rsidRDefault="00396401" w:rsidP="00641C47">
      <w:pPr>
        <w:jc w:val="center"/>
        <w:rPr>
          <w:rFonts w:cstheme="minorHAnsi"/>
          <w:b/>
          <w:sz w:val="28"/>
        </w:rPr>
      </w:pPr>
    </w:p>
    <w:p w:rsidR="00396401" w:rsidRDefault="00396401" w:rsidP="00641C47">
      <w:pPr>
        <w:jc w:val="center"/>
        <w:rPr>
          <w:rFonts w:cstheme="minorHAnsi"/>
          <w:b/>
          <w:sz w:val="28"/>
        </w:rPr>
      </w:pPr>
    </w:p>
    <w:sectPr w:rsidR="00396401" w:rsidSect="00B77FF4">
      <w:headerReference w:type="default" r:id="rId13"/>
      <w:footerReference w:type="default" r:id="rId1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DBD" w:rsidRDefault="00881DBD" w:rsidP="00ED7D11">
      <w:pPr>
        <w:spacing w:after="0" w:line="240" w:lineRule="auto"/>
      </w:pPr>
      <w:r>
        <w:separator/>
      </w:r>
    </w:p>
  </w:endnote>
  <w:endnote w:type="continuationSeparator" w:id="0">
    <w:p w:rsidR="00881DBD" w:rsidRDefault="00881DBD" w:rsidP="00ED7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91" w:rsidRPr="00924DF7" w:rsidRDefault="00FC0791" w:rsidP="00924DF7">
    <w:pPr>
      <w:pStyle w:val="Footer"/>
      <w:rPr>
        <w:szCs w:val="19"/>
      </w:rPr>
    </w:pPr>
    <w:r w:rsidRPr="00924DF7">
      <w:rPr>
        <w:szCs w:val="19"/>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DBD" w:rsidRDefault="00881DBD" w:rsidP="00ED7D11">
      <w:pPr>
        <w:spacing w:after="0" w:line="240" w:lineRule="auto"/>
      </w:pPr>
      <w:r>
        <w:separator/>
      </w:r>
    </w:p>
  </w:footnote>
  <w:footnote w:type="continuationSeparator" w:id="0">
    <w:p w:rsidR="00881DBD" w:rsidRDefault="00881DBD" w:rsidP="00ED7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47" w:rsidRPr="007E78AD" w:rsidRDefault="00EE499D" w:rsidP="00641C47">
    <w:pPr>
      <w:spacing w:after="0" w:line="240" w:lineRule="auto"/>
      <w:jc w:val="right"/>
      <w:rPr>
        <w:rFonts w:ascii="Book Antiqua" w:hAnsi="Book Antiqua"/>
        <w:b/>
        <w:color w:val="767171" w:themeColor="background2" w:themeShade="80"/>
        <w:sz w:val="20"/>
        <w:szCs w:val="20"/>
        <w:u w:val="single"/>
      </w:rPr>
    </w:pPr>
    <w:proofErr w:type="spellStart"/>
    <w:r>
      <w:rPr>
        <w:rFonts w:ascii="Book Antiqua" w:hAnsi="Book Antiqua"/>
        <w:b/>
        <w:color w:val="767171" w:themeColor="background2" w:themeShade="80"/>
        <w:sz w:val="20"/>
        <w:szCs w:val="20"/>
        <w:u w:val="single"/>
      </w:rPr>
      <w:t>Phyto</w:t>
    </w:r>
    <w:proofErr w:type="spellEnd"/>
    <w:r>
      <w:rPr>
        <w:rFonts w:ascii="Book Antiqua" w:hAnsi="Book Antiqua"/>
        <w:b/>
        <w:color w:val="767171" w:themeColor="background2" w:themeShade="80"/>
        <w:sz w:val="20"/>
        <w:szCs w:val="20"/>
        <w:u w:val="single"/>
      </w:rPr>
      <w:t xml:space="preserve"> </w:t>
    </w:r>
    <w:proofErr w:type="spellStart"/>
    <w:r>
      <w:rPr>
        <w:rFonts w:ascii="Book Antiqua" w:hAnsi="Book Antiqua"/>
        <w:b/>
        <w:color w:val="767171" w:themeColor="background2" w:themeShade="80"/>
        <w:sz w:val="20"/>
        <w:szCs w:val="20"/>
        <w:u w:val="single"/>
      </w:rPr>
      <w:t>chem</w:t>
    </w:r>
    <w:proofErr w:type="spellEnd"/>
    <w:r>
      <w:rPr>
        <w:rFonts w:ascii="Book Antiqua" w:hAnsi="Book Antiqua"/>
        <w:b/>
        <w:color w:val="767171" w:themeColor="background2" w:themeShade="80"/>
        <w:sz w:val="20"/>
        <w:szCs w:val="20"/>
        <w:u w:val="single"/>
      </w:rPr>
      <w:t xml:space="preserve"> (India)</w:t>
    </w:r>
    <w:r w:rsidR="00641C47" w:rsidRPr="007E78AD">
      <w:rPr>
        <w:rFonts w:ascii="Book Antiqua" w:hAnsi="Book Antiqua"/>
        <w:b/>
        <w:color w:val="767171" w:themeColor="background2" w:themeShade="80"/>
        <w:sz w:val="20"/>
        <w:szCs w:val="20"/>
        <w:u w:val="single"/>
      </w:rPr>
      <w:t xml:space="preserve"> Limited</w:t>
    </w:r>
  </w:p>
  <w:p w:rsidR="00ED7D11" w:rsidRPr="00B77FF4" w:rsidRDefault="002440A5" w:rsidP="00B77FF4">
    <w:pPr>
      <w:spacing w:after="0" w:line="240" w:lineRule="auto"/>
      <w:jc w:val="right"/>
      <w:rPr>
        <w:rFonts w:ascii="Book Antiqua" w:hAnsi="Book Antiqua"/>
        <w:b/>
        <w:color w:val="767171" w:themeColor="background2" w:themeShade="80"/>
        <w:sz w:val="20"/>
        <w:szCs w:val="20"/>
        <w:u w:val="single"/>
      </w:rPr>
    </w:pPr>
    <w:r>
      <w:rPr>
        <w:rFonts w:ascii="Book Antiqua" w:hAnsi="Book Antiqua"/>
        <w:b/>
        <w:color w:val="767171" w:themeColor="background2" w:themeShade="80"/>
        <w:sz w:val="20"/>
        <w:szCs w:val="20"/>
        <w:u w:val="single"/>
      </w:rPr>
      <w:t>Terms &amp; Conditions of appointment for Independent Directors</w:t>
    </w:r>
  </w:p>
  <w:p w:rsidR="00ED7D11" w:rsidRPr="00B77FF4" w:rsidRDefault="00ED7D11" w:rsidP="00B77FF4">
    <w:pPr>
      <w:spacing w:after="0" w:line="240" w:lineRule="auto"/>
      <w:jc w:val="right"/>
      <w:rPr>
        <w:rFonts w:ascii="Book Antiqua" w:hAnsi="Book Antiqua"/>
        <w:b/>
        <w:color w:val="767171" w:themeColor="background2" w:themeShade="80"/>
        <w:sz w:val="20"/>
        <w:szCs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952"/>
    <w:multiLevelType w:val="hybridMultilevel"/>
    <w:tmpl w:val="00005F90"/>
    <w:lvl w:ilvl="0" w:tplc="000016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55426"/>
    <w:multiLevelType w:val="multilevel"/>
    <w:tmpl w:val="E2128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D385B"/>
    <w:multiLevelType w:val="multilevel"/>
    <w:tmpl w:val="866A2A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F63A7"/>
    <w:multiLevelType w:val="multilevel"/>
    <w:tmpl w:val="9EEA21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552E0D"/>
    <w:multiLevelType w:val="multilevel"/>
    <w:tmpl w:val="DC62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25DAD"/>
    <w:multiLevelType w:val="multilevel"/>
    <w:tmpl w:val="01F0D3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B30895"/>
    <w:multiLevelType w:val="multilevel"/>
    <w:tmpl w:val="C9A658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0EDC513C"/>
    <w:multiLevelType w:val="multilevel"/>
    <w:tmpl w:val="7786D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B14A95"/>
    <w:multiLevelType w:val="multilevel"/>
    <w:tmpl w:val="F4CE43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89A00F2"/>
    <w:multiLevelType w:val="multilevel"/>
    <w:tmpl w:val="008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1A658D"/>
    <w:multiLevelType w:val="multilevel"/>
    <w:tmpl w:val="5E3A3740"/>
    <w:lvl w:ilvl="0">
      <w:start w:val="3"/>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1">
    <w:nsid w:val="235947CD"/>
    <w:multiLevelType w:val="multilevel"/>
    <w:tmpl w:val="9E4E7B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F62A83"/>
    <w:multiLevelType w:val="multilevel"/>
    <w:tmpl w:val="38C2B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CB3240"/>
    <w:multiLevelType w:val="hybridMultilevel"/>
    <w:tmpl w:val="1E5AC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662FBD"/>
    <w:multiLevelType w:val="multilevel"/>
    <w:tmpl w:val="4748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592782"/>
    <w:multiLevelType w:val="multilevel"/>
    <w:tmpl w:val="C03E9C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806BCA"/>
    <w:multiLevelType w:val="multilevel"/>
    <w:tmpl w:val="C6DE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8347CB"/>
    <w:multiLevelType w:val="multilevel"/>
    <w:tmpl w:val="38D8141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32DC5D09"/>
    <w:multiLevelType w:val="multilevel"/>
    <w:tmpl w:val="C90C8E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1129D0"/>
    <w:multiLevelType w:val="multilevel"/>
    <w:tmpl w:val="769CD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E4781C"/>
    <w:multiLevelType w:val="multilevel"/>
    <w:tmpl w:val="5694FA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183908"/>
    <w:multiLevelType w:val="multilevel"/>
    <w:tmpl w:val="4154B23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7DD3204"/>
    <w:multiLevelType w:val="multilevel"/>
    <w:tmpl w:val="F43AD4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9A279B"/>
    <w:multiLevelType w:val="multilevel"/>
    <w:tmpl w:val="48E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3264BE"/>
    <w:multiLevelType w:val="multilevel"/>
    <w:tmpl w:val="2634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420FDB"/>
    <w:multiLevelType w:val="multilevel"/>
    <w:tmpl w:val="0A1C2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C35B48"/>
    <w:multiLevelType w:val="multilevel"/>
    <w:tmpl w:val="376C9A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42110C"/>
    <w:multiLevelType w:val="multilevel"/>
    <w:tmpl w:val="60A6255A"/>
    <w:lvl w:ilvl="0">
      <w:start w:val="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8">
    <w:nsid w:val="68E02696"/>
    <w:multiLevelType w:val="hybridMultilevel"/>
    <w:tmpl w:val="3978168A"/>
    <w:lvl w:ilvl="0" w:tplc="FDE4CFD2">
      <w:start w:val="1"/>
      <w:numFmt w:val="upp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6A1A3BE2"/>
    <w:multiLevelType w:val="multilevel"/>
    <w:tmpl w:val="1E004D6A"/>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0">
    <w:nsid w:val="6C20458C"/>
    <w:multiLevelType w:val="multilevel"/>
    <w:tmpl w:val="882A33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5806D0"/>
    <w:multiLevelType w:val="multilevel"/>
    <w:tmpl w:val="0F50D64E"/>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70221FE0"/>
    <w:multiLevelType w:val="multilevel"/>
    <w:tmpl w:val="FBDE3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B910C2"/>
    <w:multiLevelType w:val="multilevel"/>
    <w:tmpl w:val="25BE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3455A8"/>
    <w:multiLevelType w:val="multilevel"/>
    <w:tmpl w:val="B6B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2C2D71"/>
    <w:multiLevelType w:val="multilevel"/>
    <w:tmpl w:val="E802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7F2855"/>
    <w:multiLevelType w:val="multilevel"/>
    <w:tmpl w:val="F2B830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EB0FB6"/>
    <w:multiLevelType w:val="multilevel"/>
    <w:tmpl w:val="F4C6D6FC"/>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7D4C271C"/>
    <w:multiLevelType w:val="hybridMultilevel"/>
    <w:tmpl w:val="1E5AC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13"/>
  </w:num>
  <w:num w:numId="3">
    <w:abstractNumId w:val="32"/>
  </w:num>
  <w:num w:numId="4">
    <w:abstractNumId w:val="7"/>
  </w:num>
  <w:num w:numId="5">
    <w:abstractNumId w:val="12"/>
  </w:num>
  <w:num w:numId="6">
    <w:abstractNumId w:val="25"/>
  </w:num>
  <w:num w:numId="7">
    <w:abstractNumId w:val="15"/>
  </w:num>
  <w:num w:numId="8">
    <w:abstractNumId w:val="36"/>
  </w:num>
  <w:num w:numId="9">
    <w:abstractNumId w:val="30"/>
  </w:num>
  <w:num w:numId="10">
    <w:abstractNumId w:val="2"/>
  </w:num>
  <w:num w:numId="11">
    <w:abstractNumId w:val="11"/>
  </w:num>
  <w:num w:numId="12">
    <w:abstractNumId w:val="18"/>
  </w:num>
  <w:num w:numId="13">
    <w:abstractNumId w:val="3"/>
  </w:num>
  <w:num w:numId="14">
    <w:abstractNumId w:val="6"/>
  </w:num>
  <w:num w:numId="15">
    <w:abstractNumId w:val="8"/>
  </w:num>
  <w:num w:numId="16">
    <w:abstractNumId w:val="28"/>
  </w:num>
  <w:num w:numId="17">
    <w:abstractNumId w:val="17"/>
  </w:num>
  <w:num w:numId="18">
    <w:abstractNumId w:val="37"/>
  </w:num>
  <w:num w:numId="19">
    <w:abstractNumId w:val="29"/>
  </w:num>
  <w:num w:numId="20">
    <w:abstractNumId w:val="14"/>
  </w:num>
  <w:num w:numId="21">
    <w:abstractNumId w:val="24"/>
  </w:num>
  <w:num w:numId="22">
    <w:abstractNumId w:val="34"/>
  </w:num>
  <w:num w:numId="23">
    <w:abstractNumId w:val="27"/>
  </w:num>
  <w:num w:numId="24">
    <w:abstractNumId w:val="10"/>
  </w:num>
  <w:num w:numId="25">
    <w:abstractNumId w:val="31"/>
  </w:num>
  <w:num w:numId="26">
    <w:abstractNumId w:val="21"/>
  </w:num>
  <w:num w:numId="27">
    <w:abstractNumId w:val="22"/>
  </w:num>
  <w:num w:numId="28">
    <w:abstractNumId w:val="19"/>
  </w:num>
  <w:num w:numId="29">
    <w:abstractNumId w:val="26"/>
  </w:num>
  <w:num w:numId="30">
    <w:abstractNumId w:val="4"/>
  </w:num>
  <w:num w:numId="31">
    <w:abstractNumId w:val="33"/>
  </w:num>
  <w:num w:numId="32">
    <w:abstractNumId w:val="35"/>
  </w:num>
  <w:num w:numId="33">
    <w:abstractNumId w:val="9"/>
  </w:num>
  <w:num w:numId="34">
    <w:abstractNumId w:val="5"/>
  </w:num>
  <w:num w:numId="35">
    <w:abstractNumId w:val="20"/>
  </w:num>
  <w:num w:numId="36">
    <w:abstractNumId w:val="1"/>
  </w:num>
  <w:num w:numId="37">
    <w:abstractNumId w:val="16"/>
  </w:num>
  <w:num w:numId="38">
    <w:abstractNumId w:val="23"/>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5778"/>
  </w:hdrShapeDefaults>
  <w:footnotePr>
    <w:footnote w:id="-1"/>
    <w:footnote w:id="0"/>
  </w:footnotePr>
  <w:endnotePr>
    <w:endnote w:id="-1"/>
    <w:endnote w:id="0"/>
  </w:endnotePr>
  <w:compat/>
  <w:rsids>
    <w:rsidRoot w:val="008252BC"/>
    <w:rsid w:val="00004AF8"/>
    <w:rsid w:val="0002043F"/>
    <w:rsid w:val="000252F0"/>
    <w:rsid w:val="00042741"/>
    <w:rsid w:val="00085535"/>
    <w:rsid w:val="000907D6"/>
    <w:rsid w:val="00091F23"/>
    <w:rsid w:val="000A321B"/>
    <w:rsid w:val="000F117C"/>
    <w:rsid w:val="00104E3E"/>
    <w:rsid w:val="00104F6E"/>
    <w:rsid w:val="00113FDF"/>
    <w:rsid w:val="00154912"/>
    <w:rsid w:val="001716BD"/>
    <w:rsid w:val="001B6B97"/>
    <w:rsid w:val="001E3B0C"/>
    <w:rsid w:val="00207E73"/>
    <w:rsid w:val="002101AB"/>
    <w:rsid w:val="00230658"/>
    <w:rsid w:val="002440A5"/>
    <w:rsid w:val="002518FB"/>
    <w:rsid w:val="002522AF"/>
    <w:rsid w:val="002758E4"/>
    <w:rsid w:val="002912E1"/>
    <w:rsid w:val="002B19EB"/>
    <w:rsid w:val="002B35FC"/>
    <w:rsid w:val="002C4C09"/>
    <w:rsid w:val="002E7AAC"/>
    <w:rsid w:val="00312EB8"/>
    <w:rsid w:val="00332DC2"/>
    <w:rsid w:val="00343B02"/>
    <w:rsid w:val="0036682C"/>
    <w:rsid w:val="00396401"/>
    <w:rsid w:val="003C7914"/>
    <w:rsid w:val="003D67D3"/>
    <w:rsid w:val="003E2C9D"/>
    <w:rsid w:val="003F2BB8"/>
    <w:rsid w:val="00403576"/>
    <w:rsid w:val="00412CD2"/>
    <w:rsid w:val="00435E35"/>
    <w:rsid w:val="004551CB"/>
    <w:rsid w:val="00474B84"/>
    <w:rsid w:val="00482E9F"/>
    <w:rsid w:val="004B1EE1"/>
    <w:rsid w:val="004B6A11"/>
    <w:rsid w:val="004C1E73"/>
    <w:rsid w:val="004E3309"/>
    <w:rsid w:val="004F2DEB"/>
    <w:rsid w:val="005116E9"/>
    <w:rsid w:val="00514DD4"/>
    <w:rsid w:val="005671D1"/>
    <w:rsid w:val="00570609"/>
    <w:rsid w:val="00573557"/>
    <w:rsid w:val="005808E1"/>
    <w:rsid w:val="00597DC6"/>
    <w:rsid w:val="005B2A48"/>
    <w:rsid w:val="005B4343"/>
    <w:rsid w:val="006036A5"/>
    <w:rsid w:val="00641C47"/>
    <w:rsid w:val="006537EA"/>
    <w:rsid w:val="00667028"/>
    <w:rsid w:val="0068093F"/>
    <w:rsid w:val="00685045"/>
    <w:rsid w:val="00692360"/>
    <w:rsid w:val="006C4EE6"/>
    <w:rsid w:val="006E4B6B"/>
    <w:rsid w:val="00701F59"/>
    <w:rsid w:val="00710D32"/>
    <w:rsid w:val="0073612F"/>
    <w:rsid w:val="00757E3E"/>
    <w:rsid w:val="00765979"/>
    <w:rsid w:val="007901D0"/>
    <w:rsid w:val="00796FF8"/>
    <w:rsid w:val="007E14C9"/>
    <w:rsid w:val="007F1128"/>
    <w:rsid w:val="007F5A72"/>
    <w:rsid w:val="00810287"/>
    <w:rsid w:val="00816FA6"/>
    <w:rsid w:val="008252BC"/>
    <w:rsid w:val="00837CAE"/>
    <w:rsid w:val="00845686"/>
    <w:rsid w:val="00854144"/>
    <w:rsid w:val="00867941"/>
    <w:rsid w:val="00881845"/>
    <w:rsid w:val="00881DBD"/>
    <w:rsid w:val="008E0319"/>
    <w:rsid w:val="008F02FE"/>
    <w:rsid w:val="00924DF7"/>
    <w:rsid w:val="00951FE5"/>
    <w:rsid w:val="009608E1"/>
    <w:rsid w:val="0096406F"/>
    <w:rsid w:val="00986DF4"/>
    <w:rsid w:val="009E6998"/>
    <w:rsid w:val="00A37294"/>
    <w:rsid w:val="00A439AA"/>
    <w:rsid w:val="00A77733"/>
    <w:rsid w:val="00A8013D"/>
    <w:rsid w:val="00A87AD8"/>
    <w:rsid w:val="00A87AF0"/>
    <w:rsid w:val="00AB1E08"/>
    <w:rsid w:val="00AC0FA6"/>
    <w:rsid w:val="00AC25B5"/>
    <w:rsid w:val="00B13117"/>
    <w:rsid w:val="00B66C1A"/>
    <w:rsid w:val="00B77FF4"/>
    <w:rsid w:val="00B94496"/>
    <w:rsid w:val="00BC343F"/>
    <w:rsid w:val="00BC546F"/>
    <w:rsid w:val="00BE7230"/>
    <w:rsid w:val="00BF29A6"/>
    <w:rsid w:val="00BF5FB7"/>
    <w:rsid w:val="00C33234"/>
    <w:rsid w:val="00C455E3"/>
    <w:rsid w:val="00C76392"/>
    <w:rsid w:val="00CB35C8"/>
    <w:rsid w:val="00CC11A2"/>
    <w:rsid w:val="00CE324D"/>
    <w:rsid w:val="00D05F44"/>
    <w:rsid w:val="00D119ED"/>
    <w:rsid w:val="00D41D76"/>
    <w:rsid w:val="00D62475"/>
    <w:rsid w:val="00D86419"/>
    <w:rsid w:val="00D96889"/>
    <w:rsid w:val="00DC3C25"/>
    <w:rsid w:val="00DC725B"/>
    <w:rsid w:val="00DD4BE2"/>
    <w:rsid w:val="00E1629A"/>
    <w:rsid w:val="00E24F43"/>
    <w:rsid w:val="00E343C2"/>
    <w:rsid w:val="00E40B90"/>
    <w:rsid w:val="00E53696"/>
    <w:rsid w:val="00E57993"/>
    <w:rsid w:val="00E71DF7"/>
    <w:rsid w:val="00E74953"/>
    <w:rsid w:val="00EA3164"/>
    <w:rsid w:val="00EB34D4"/>
    <w:rsid w:val="00EC1AEA"/>
    <w:rsid w:val="00EC3F79"/>
    <w:rsid w:val="00ED7D11"/>
    <w:rsid w:val="00EE499D"/>
    <w:rsid w:val="00EF0382"/>
    <w:rsid w:val="00F02A69"/>
    <w:rsid w:val="00F30331"/>
    <w:rsid w:val="00F314E4"/>
    <w:rsid w:val="00F5324D"/>
    <w:rsid w:val="00F5790F"/>
    <w:rsid w:val="00F833F5"/>
    <w:rsid w:val="00FC0791"/>
    <w:rsid w:val="00FE4948"/>
    <w:rsid w:val="00FF5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1D1"/>
    <w:pPr>
      <w:ind w:left="720"/>
      <w:contextualSpacing/>
    </w:pPr>
  </w:style>
  <w:style w:type="paragraph" w:styleId="Header">
    <w:name w:val="header"/>
    <w:basedOn w:val="Normal"/>
    <w:link w:val="HeaderChar"/>
    <w:uiPriority w:val="99"/>
    <w:unhideWhenUsed/>
    <w:rsid w:val="00E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D11"/>
  </w:style>
  <w:style w:type="paragraph" w:styleId="Footer">
    <w:name w:val="footer"/>
    <w:basedOn w:val="Normal"/>
    <w:link w:val="FooterChar"/>
    <w:uiPriority w:val="99"/>
    <w:unhideWhenUsed/>
    <w:rsid w:val="00E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D11"/>
  </w:style>
  <w:style w:type="character" w:styleId="Hyperlink">
    <w:name w:val="Hyperlink"/>
    <w:basedOn w:val="DefaultParagraphFont"/>
    <w:uiPriority w:val="99"/>
    <w:unhideWhenUsed/>
    <w:rsid w:val="00B77FF4"/>
    <w:rPr>
      <w:color w:val="0563C1" w:themeColor="hyperlink"/>
      <w:u w:val="single"/>
    </w:rPr>
  </w:style>
  <w:style w:type="paragraph" w:styleId="NormalWeb">
    <w:name w:val="Normal (Web)"/>
    <w:basedOn w:val="Normal"/>
    <w:uiPriority w:val="99"/>
    <w:semiHidden/>
    <w:unhideWhenUsed/>
    <w:rsid w:val="00091F23"/>
    <w:pPr>
      <w:spacing w:before="100" w:beforeAutospacing="1" w:after="119"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641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C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741452">
      <w:bodyDiv w:val="1"/>
      <w:marLeft w:val="0"/>
      <w:marRight w:val="0"/>
      <w:marTop w:val="0"/>
      <w:marBottom w:val="0"/>
      <w:divBdr>
        <w:top w:val="none" w:sz="0" w:space="0" w:color="auto"/>
        <w:left w:val="none" w:sz="0" w:space="0" w:color="auto"/>
        <w:bottom w:val="none" w:sz="0" w:space="0" w:color="auto"/>
        <w:right w:val="none" w:sz="0" w:space="0" w:color="auto"/>
      </w:divBdr>
    </w:div>
    <w:div w:id="905074285">
      <w:bodyDiv w:val="1"/>
      <w:marLeft w:val="0"/>
      <w:marRight w:val="0"/>
      <w:marTop w:val="0"/>
      <w:marBottom w:val="0"/>
      <w:divBdr>
        <w:top w:val="none" w:sz="0" w:space="0" w:color="auto"/>
        <w:left w:val="none" w:sz="0" w:space="0" w:color="auto"/>
        <w:bottom w:val="none" w:sz="0" w:space="0" w:color="auto"/>
        <w:right w:val="none" w:sz="0" w:space="0" w:color="auto"/>
      </w:divBdr>
    </w:div>
    <w:div w:id="138486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hytochemin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ytochem@phytochemin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hytochemindi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8D005-CBD8-4B52-BA1A-3BA1BF42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r.</dc:creator>
  <cp:keywords/>
  <dc:description/>
  <cp:lastModifiedBy>Jagannatham4</cp:lastModifiedBy>
  <cp:revision>28</cp:revision>
  <cp:lastPrinted>2015-07-06T07:17:00Z</cp:lastPrinted>
  <dcterms:created xsi:type="dcterms:W3CDTF">2015-08-31T10:36:00Z</dcterms:created>
  <dcterms:modified xsi:type="dcterms:W3CDTF">2016-08-03T09:44:00Z</dcterms:modified>
</cp:coreProperties>
</file>