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D03EB" w:rsidRDefault="006D03EB" w:rsidP="006D03EB">
      <w:pPr>
        <w:tabs>
          <w:tab w:val="left" w:pos="6195"/>
          <w:tab w:val="left" w:pos="7875"/>
        </w:tabs>
        <w:jc w:val="center"/>
        <w:rPr>
          <w:b/>
          <w:bCs/>
        </w:rPr>
      </w:pPr>
      <w:r>
        <w:rPr>
          <w:noProof/>
        </w:rPr>
        <w:drawing>
          <wp:inline distT="0" distB="0" distL="0" distR="0">
            <wp:extent cx="1657350" cy="2095500"/>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8D5576" w:rsidRPr="008D5576" w:rsidRDefault="008D5576" w:rsidP="006D03EB">
      <w:pPr>
        <w:widowControl w:val="0"/>
        <w:autoSpaceDE w:val="0"/>
        <w:autoSpaceDN w:val="0"/>
        <w:adjustRightInd w:val="0"/>
        <w:spacing w:after="0" w:line="240" w:lineRule="auto"/>
        <w:jc w:val="center"/>
        <w:rPr>
          <w:rFonts w:cstheme="minorHAnsi"/>
          <w:b/>
          <w:bCs/>
          <w:color w:val="000000"/>
          <w:sz w:val="24"/>
          <w:szCs w:val="24"/>
          <w:u w:val="single"/>
        </w:rPr>
      </w:pPr>
    </w:p>
    <w:p w:rsidR="006D03EB" w:rsidRPr="009F132D" w:rsidRDefault="006D03EB" w:rsidP="006D03EB">
      <w:pPr>
        <w:widowControl w:val="0"/>
        <w:autoSpaceDE w:val="0"/>
        <w:autoSpaceDN w:val="0"/>
        <w:adjustRightInd w:val="0"/>
        <w:spacing w:after="0" w:line="240" w:lineRule="auto"/>
        <w:jc w:val="center"/>
        <w:rPr>
          <w:rFonts w:cstheme="minorHAnsi"/>
          <w:b/>
          <w:bCs/>
          <w:i/>
          <w:color w:val="000000"/>
          <w:sz w:val="48"/>
          <w:szCs w:val="48"/>
          <w:u w:val="single"/>
        </w:rPr>
      </w:pPr>
      <w:r w:rsidRPr="009F132D">
        <w:rPr>
          <w:rFonts w:cstheme="minorHAnsi"/>
          <w:b/>
          <w:bCs/>
          <w:i/>
          <w:color w:val="000000"/>
          <w:sz w:val="48"/>
          <w:szCs w:val="48"/>
          <w:u w:val="single"/>
        </w:rPr>
        <w:t>Policy on Related Party Transactions</w:t>
      </w:r>
    </w:p>
    <w:p w:rsidR="006D03EB" w:rsidRDefault="008D5576" w:rsidP="006D03EB">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65920" behindDoc="1" locked="0" layoutInCell="1" allowOverlap="1">
            <wp:simplePos x="0" y="0"/>
            <wp:positionH relativeFrom="page">
              <wp:posOffset>3181350</wp:posOffset>
            </wp:positionH>
            <wp:positionV relativeFrom="page">
              <wp:posOffset>3952875</wp:posOffset>
            </wp:positionV>
            <wp:extent cx="1323975" cy="1676400"/>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6D03EB" w:rsidRDefault="006D03EB" w:rsidP="006D03EB">
      <w:pPr>
        <w:autoSpaceDE w:val="0"/>
        <w:autoSpaceDN w:val="0"/>
        <w:adjustRightInd w:val="0"/>
        <w:spacing w:after="0" w:line="240" w:lineRule="auto"/>
        <w:rPr>
          <w:b/>
          <w:bCs/>
          <w:sz w:val="36"/>
          <w:szCs w:val="36"/>
        </w:rPr>
      </w:pPr>
    </w:p>
    <w:p w:rsidR="006D03EB" w:rsidRDefault="006D03EB" w:rsidP="006D03EB">
      <w:pPr>
        <w:autoSpaceDE w:val="0"/>
        <w:autoSpaceDN w:val="0"/>
        <w:adjustRightInd w:val="0"/>
        <w:spacing w:after="0" w:line="240" w:lineRule="auto"/>
        <w:jc w:val="center"/>
        <w:rPr>
          <w:b/>
          <w:bCs/>
          <w:sz w:val="36"/>
          <w:szCs w:val="36"/>
        </w:rPr>
      </w:pPr>
    </w:p>
    <w:p w:rsidR="006D03EB" w:rsidRDefault="006D03EB" w:rsidP="006D03EB">
      <w:pPr>
        <w:autoSpaceDE w:val="0"/>
        <w:autoSpaceDN w:val="0"/>
        <w:adjustRightInd w:val="0"/>
        <w:spacing w:after="0" w:line="240" w:lineRule="auto"/>
        <w:jc w:val="center"/>
        <w:rPr>
          <w:b/>
          <w:bCs/>
          <w:sz w:val="36"/>
          <w:szCs w:val="36"/>
        </w:rPr>
      </w:pPr>
    </w:p>
    <w:p w:rsidR="006D03EB" w:rsidRDefault="006D03EB" w:rsidP="006D03EB">
      <w:pPr>
        <w:autoSpaceDE w:val="0"/>
        <w:autoSpaceDN w:val="0"/>
        <w:adjustRightInd w:val="0"/>
        <w:spacing w:after="0" w:line="240" w:lineRule="auto"/>
        <w:jc w:val="center"/>
        <w:rPr>
          <w:b/>
          <w:bCs/>
          <w:sz w:val="36"/>
          <w:szCs w:val="36"/>
        </w:rPr>
      </w:pPr>
    </w:p>
    <w:p w:rsidR="006D03EB" w:rsidRDefault="006D03EB" w:rsidP="006D03EB">
      <w:pPr>
        <w:autoSpaceDE w:val="0"/>
        <w:autoSpaceDN w:val="0"/>
        <w:adjustRightInd w:val="0"/>
        <w:spacing w:after="0" w:line="240" w:lineRule="auto"/>
        <w:jc w:val="center"/>
        <w:rPr>
          <w:b/>
          <w:bCs/>
          <w:sz w:val="36"/>
          <w:szCs w:val="36"/>
        </w:rPr>
      </w:pPr>
    </w:p>
    <w:p w:rsidR="006D03EB" w:rsidRDefault="006D03EB" w:rsidP="006D03EB">
      <w:pPr>
        <w:autoSpaceDE w:val="0"/>
        <w:autoSpaceDN w:val="0"/>
        <w:adjustRightInd w:val="0"/>
        <w:spacing w:after="0" w:line="240" w:lineRule="auto"/>
        <w:jc w:val="center"/>
        <w:rPr>
          <w:b/>
          <w:bCs/>
          <w:i/>
          <w:iCs/>
          <w:sz w:val="48"/>
          <w:szCs w:val="48"/>
        </w:rPr>
      </w:pPr>
    </w:p>
    <w:p w:rsidR="006D03EB" w:rsidRDefault="006D03EB" w:rsidP="006D03EB">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6D03EB" w:rsidRPr="0081696D" w:rsidRDefault="006D03EB" w:rsidP="006D03EB">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6D03EB" w:rsidRPr="001806D2" w:rsidRDefault="006D03EB" w:rsidP="006D03EB">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6D03EB" w:rsidRPr="001806D2" w:rsidRDefault="006D03EB" w:rsidP="006D03EB">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6D03EB" w:rsidRPr="001806D2" w:rsidRDefault="006D03EB" w:rsidP="006D03EB">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6D03EB" w:rsidRDefault="006D03EB" w:rsidP="006D03EB">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6D03EB" w:rsidRPr="001806D2" w:rsidRDefault="006D03EB" w:rsidP="006D03EB">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6D03EB" w:rsidRDefault="006D03EB" w:rsidP="006D03EB">
      <w:pPr>
        <w:autoSpaceDE w:val="0"/>
        <w:autoSpaceDN w:val="0"/>
        <w:adjustRightInd w:val="0"/>
        <w:spacing w:after="0" w:line="240" w:lineRule="auto"/>
        <w:jc w:val="center"/>
        <w:rPr>
          <w:b/>
          <w:bCs/>
          <w:sz w:val="28"/>
          <w:szCs w:val="28"/>
        </w:rPr>
      </w:pPr>
    </w:p>
    <w:p w:rsidR="006D03EB" w:rsidRPr="00F3644F" w:rsidRDefault="006D03EB" w:rsidP="006D03EB">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6D03EB" w:rsidRPr="00F3644F" w:rsidRDefault="006D03EB" w:rsidP="006D03EB">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6D03EB" w:rsidRDefault="006D03EB" w:rsidP="006D03EB">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6D03EB" w:rsidRDefault="008A1EE3" w:rsidP="006D03EB">
      <w:pPr>
        <w:autoSpaceDE w:val="0"/>
        <w:autoSpaceDN w:val="0"/>
        <w:adjustRightInd w:val="0"/>
        <w:spacing w:after="0" w:line="240" w:lineRule="auto"/>
        <w:jc w:val="center"/>
      </w:pPr>
      <w:hyperlink r:id="rId12" w:history="1">
        <w:r w:rsidR="006D03EB" w:rsidRPr="00BD2D28">
          <w:rPr>
            <w:rStyle w:val="Hyperlink"/>
            <w:b/>
            <w:bCs/>
            <w:sz w:val="28"/>
            <w:szCs w:val="28"/>
          </w:rPr>
          <w:t>info@phytochemindia.com</w:t>
        </w:r>
      </w:hyperlink>
    </w:p>
    <w:p w:rsidR="00DF5CEF" w:rsidRPr="008971FF" w:rsidRDefault="00DF5CEF" w:rsidP="009B55C2">
      <w:pPr>
        <w:pStyle w:val="Default"/>
        <w:jc w:val="center"/>
        <w:rPr>
          <w:rFonts w:asciiTheme="minorHAnsi" w:hAnsiTheme="minorHAnsi" w:cstheme="minorHAnsi"/>
        </w:rPr>
      </w:pPr>
    </w:p>
    <w:p w:rsidR="00DF5CEF" w:rsidRPr="008971FF" w:rsidRDefault="00DF5CEF" w:rsidP="009B55C2">
      <w:pPr>
        <w:pStyle w:val="Default"/>
        <w:jc w:val="center"/>
        <w:rPr>
          <w:rFonts w:asciiTheme="minorHAnsi" w:hAnsiTheme="minorHAnsi" w:cstheme="minorHAnsi"/>
        </w:rPr>
      </w:pPr>
    </w:p>
    <w:p w:rsidR="00DF5CEF" w:rsidRPr="008971FF" w:rsidRDefault="00DF5CEF" w:rsidP="009B55C2">
      <w:pPr>
        <w:pStyle w:val="Default"/>
        <w:jc w:val="center"/>
        <w:rPr>
          <w:rFonts w:asciiTheme="minorHAnsi" w:hAnsiTheme="minorHAnsi" w:cstheme="minorHAnsi"/>
        </w:rPr>
      </w:pPr>
    </w:p>
    <w:p w:rsidR="000777F7" w:rsidRPr="00C861E8" w:rsidRDefault="000777F7" w:rsidP="000777F7">
      <w:pPr>
        <w:tabs>
          <w:tab w:val="left" w:pos="6195"/>
          <w:tab w:val="left" w:pos="7875"/>
        </w:tabs>
        <w:jc w:val="center"/>
        <w:rPr>
          <w:rFonts w:cs="Arial"/>
          <w:b/>
          <w:bCs/>
          <w:i/>
          <w:iCs/>
          <w:sz w:val="28"/>
          <w:szCs w:val="28"/>
        </w:rPr>
      </w:pPr>
      <w:proofErr w:type="spellStart"/>
      <w:r w:rsidRPr="00C861E8">
        <w:rPr>
          <w:rFonts w:cs="Arial"/>
          <w:b/>
          <w:bCs/>
          <w:i/>
          <w:iCs/>
          <w:sz w:val="28"/>
          <w:szCs w:val="28"/>
        </w:rPr>
        <w:lastRenderedPageBreak/>
        <w:t>Phyto</w:t>
      </w:r>
      <w:proofErr w:type="spellEnd"/>
      <w:r w:rsidRPr="00C861E8">
        <w:rPr>
          <w:rFonts w:cs="Arial"/>
          <w:b/>
          <w:bCs/>
          <w:i/>
          <w:iCs/>
          <w:sz w:val="28"/>
          <w:szCs w:val="28"/>
        </w:rPr>
        <w:t xml:space="preserve"> </w:t>
      </w:r>
      <w:proofErr w:type="spellStart"/>
      <w:r w:rsidRPr="00C861E8">
        <w:rPr>
          <w:rFonts w:cs="Arial"/>
          <w:b/>
          <w:bCs/>
          <w:i/>
          <w:iCs/>
          <w:sz w:val="28"/>
          <w:szCs w:val="28"/>
        </w:rPr>
        <w:t>Chem</w:t>
      </w:r>
      <w:proofErr w:type="spellEnd"/>
      <w:r w:rsidRPr="00C861E8">
        <w:rPr>
          <w:rFonts w:cs="Arial"/>
          <w:b/>
          <w:bCs/>
          <w:i/>
          <w:iCs/>
          <w:sz w:val="28"/>
          <w:szCs w:val="28"/>
        </w:rPr>
        <w:t xml:space="preserve"> (India) Limited</w:t>
      </w:r>
    </w:p>
    <w:p w:rsidR="000777F7" w:rsidRDefault="000777F7" w:rsidP="00C861E8">
      <w:pPr>
        <w:widowControl w:val="0"/>
        <w:autoSpaceDE w:val="0"/>
        <w:autoSpaceDN w:val="0"/>
        <w:adjustRightInd w:val="0"/>
        <w:spacing w:after="0" w:line="240" w:lineRule="auto"/>
        <w:jc w:val="center"/>
        <w:rPr>
          <w:rFonts w:cs="Arial"/>
          <w:b/>
          <w:bCs/>
          <w:i/>
          <w:color w:val="000000"/>
          <w:sz w:val="26"/>
          <w:szCs w:val="26"/>
          <w:u w:val="single"/>
        </w:rPr>
      </w:pPr>
      <w:r w:rsidRPr="00C861E8">
        <w:rPr>
          <w:rFonts w:cs="Arial"/>
          <w:b/>
          <w:bCs/>
          <w:i/>
          <w:color w:val="000000"/>
          <w:sz w:val="26"/>
          <w:szCs w:val="26"/>
          <w:u w:val="single"/>
        </w:rPr>
        <w:t>Policy on Related Party Transactions</w:t>
      </w:r>
    </w:p>
    <w:p w:rsidR="00C861E8" w:rsidRDefault="00C861E8" w:rsidP="00C861E8">
      <w:pPr>
        <w:widowControl w:val="0"/>
        <w:autoSpaceDE w:val="0"/>
        <w:autoSpaceDN w:val="0"/>
        <w:adjustRightInd w:val="0"/>
        <w:spacing w:after="0" w:line="240" w:lineRule="auto"/>
        <w:jc w:val="center"/>
        <w:rPr>
          <w:rFonts w:cs="Arial"/>
          <w:b/>
          <w:bCs/>
          <w:i/>
          <w:color w:val="000000"/>
          <w:sz w:val="26"/>
          <w:szCs w:val="26"/>
          <w:u w:val="single"/>
        </w:rPr>
      </w:pPr>
    </w:p>
    <w:p w:rsidR="00C861E8" w:rsidRPr="00C861E8" w:rsidRDefault="00C861E8" w:rsidP="00C861E8">
      <w:pPr>
        <w:widowControl w:val="0"/>
        <w:autoSpaceDE w:val="0"/>
        <w:autoSpaceDN w:val="0"/>
        <w:adjustRightInd w:val="0"/>
        <w:spacing w:after="0" w:line="240" w:lineRule="auto"/>
        <w:jc w:val="center"/>
        <w:rPr>
          <w:rFonts w:cs="Arial"/>
          <w:b/>
          <w:bCs/>
          <w:i/>
          <w:color w:val="000000"/>
          <w:sz w:val="24"/>
          <w:szCs w:val="24"/>
        </w:rPr>
      </w:pPr>
      <w:r w:rsidRPr="00C861E8">
        <w:rPr>
          <w:rFonts w:cs="Arial"/>
          <w:b/>
          <w:bCs/>
          <w:i/>
          <w:color w:val="000000"/>
          <w:sz w:val="24"/>
          <w:szCs w:val="24"/>
        </w:rPr>
        <w:t xml:space="preserve">AMENDED ON </w:t>
      </w:r>
      <w:r w:rsidR="002D7115">
        <w:rPr>
          <w:rFonts w:cs="Arial"/>
          <w:b/>
          <w:bCs/>
          <w:i/>
          <w:color w:val="000000"/>
          <w:sz w:val="24"/>
          <w:szCs w:val="24"/>
        </w:rPr>
        <w:t>13</w:t>
      </w:r>
      <w:r w:rsidR="002D7115" w:rsidRPr="002D7115">
        <w:rPr>
          <w:rFonts w:cs="Arial"/>
          <w:b/>
          <w:bCs/>
          <w:i/>
          <w:color w:val="000000"/>
          <w:sz w:val="24"/>
          <w:szCs w:val="24"/>
          <w:vertAlign w:val="superscript"/>
        </w:rPr>
        <w:t>TH</w:t>
      </w:r>
      <w:r w:rsidR="002D7115">
        <w:rPr>
          <w:rFonts w:cs="Arial"/>
          <w:b/>
          <w:bCs/>
          <w:i/>
          <w:color w:val="000000"/>
          <w:sz w:val="24"/>
          <w:szCs w:val="24"/>
        </w:rPr>
        <w:t xml:space="preserve"> AUGUST</w:t>
      </w:r>
      <w:r w:rsidRPr="00C861E8">
        <w:rPr>
          <w:rFonts w:cs="Arial"/>
          <w:b/>
          <w:bCs/>
          <w:i/>
          <w:color w:val="000000"/>
          <w:sz w:val="24"/>
          <w:szCs w:val="24"/>
        </w:rPr>
        <w:t>, 2016</w:t>
      </w:r>
    </w:p>
    <w:p w:rsidR="00DF5CEF" w:rsidRPr="008971FF" w:rsidRDefault="00DF5CEF" w:rsidP="009B55C2">
      <w:pPr>
        <w:pStyle w:val="Default"/>
        <w:jc w:val="center"/>
        <w:rPr>
          <w:rFonts w:asciiTheme="minorHAnsi" w:hAnsiTheme="minorHAnsi" w:cstheme="minorHAnsi"/>
        </w:rPr>
      </w:pPr>
    </w:p>
    <w:p w:rsidR="00DF5CEF" w:rsidRPr="001D1EFC" w:rsidRDefault="0005586E" w:rsidP="000777F7">
      <w:pPr>
        <w:autoSpaceDE w:val="0"/>
        <w:autoSpaceDN w:val="0"/>
        <w:adjustRightInd w:val="0"/>
        <w:spacing w:after="0" w:line="240" w:lineRule="auto"/>
        <w:jc w:val="both"/>
        <w:rPr>
          <w:rFonts w:cstheme="minorHAnsi"/>
          <w:b/>
          <w:i/>
          <w:color w:val="000000"/>
          <w:sz w:val="26"/>
          <w:szCs w:val="26"/>
          <w:u w:val="single"/>
        </w:rPr>
      </w:pPr>
      <w:proofErr w:type="gramStart"/>
      <w:r w:rsidRPr="0005586E">
        <w:rPr>
          <w:rFonts w:cstheme="minorHAnsi"/>
          <w:b/>
          <w:i/>
          <w:color w:val="000000"/>
          <w:sz w:val="26"/>
          <w:szCs w:val="26"/>
        </w:rPr>
        <w:t>1.</w:t>
      </w:r>
      <w:r w:rsidRPr="001D1EFC">
        <w:rPr>
          <w:rFonts w:cstheme="minorHAnsi"/>
          <w:b/>
          <w:i/>
          <w:color w:val="000000"/>
          <w:sz w:val="26"/>
          <w:szCs w:val="26"/>
          <w:u w:val="single"/>
        </w:rPr>
        <w:t>Preamble</w:t>
      </w:r>
      <w:proofErr w:type="gramEnd"/>
      <w:r w:rsidRPr="001D1EFC">
        <w:rPr>
          <w:rFonts w:cstheme="minorHAnsi"/>
          <w:b/>
          <w:i/>
          <w:color w:val="000000"/>
          <w:sz w:val="26"/>
          <w:szCs w:val="26"/>
          <w:u w:val="single"/>
        </w:rPr>
        <w:t>:</w:t>
      </w:r>
    </w:p>
    <w:p w:rsidR="008971FF" w:rsidRPr="009B55C2" w:rsidRDefault="008971FF" w:rsidP="000777F7">
      <w:pPr>
        <w:autoSpaceDE w:val="0"/>
        <w:autoSpaceDN w:val="0"/>
        <w:adjustRightInd w:val="0"/>
        <w:spacing w:after="0" w:line="240" w:lineRule="auto"/>
        <w:jc w:val="both"/>
        <w:rPr>
          <w:rFonts w:cstheme="minorHAnsi"/>
          <w:color w:val="000000"/>
          <w:sz w:val="24"/>
          <w:szCs w:val="24"/>
        </w:rPr>
      </w:pPr>
    </w:p>
    <w:p w:rsidR="00FB3B98" w:rsidRPr="001D1EFC" w:rsidRDefault="00FB3B98" w:rsidP="000777F7">
      <w:pPr>
        <w:autoSpaceDE w:val="0"/>
        <w:autoSpaceDN w:val="0"/>
        <w:adjustRightInd w:val="0"/>
        <w:spacing w:after="0" w:line="240" w:lineRule="auto"/>
        <w:jc w:val="both"/>
        <w:rPr>
          <w:rFonts w:cstheme="minorHAnsi"/>
          <w:bCs/>
        </w:rPr>
      </w:pPr>
      <w:r w:rsidRPr="001D1EFC">
        <w:rPr>
          <w:rFonts w:cstheme="minorHAnsi"/>
          <w:bCs/>
        </w:rPr>
        <w:t xml:space="preserve">The Companies Act, 2013 (the Act) read with the Companies (Meetings of Board and its Powers) Rules, 2014 (Rules) introduced specific provisions relating to related party transactions and defined the term related parties, (material) related party transactions, relatives and key management personnel. The Act and the Rules have also laid down the financial limits and the approval process for such transactions. </w:t>
      </w:r>
    </w:p>
    <w:p w:rsidR="00FB3B98" w:rsidRPr="001D1EFC" w:rsidRDefault="00FB3B98" w:rsidP="000777F7">
      <w:pPr>
        <w:autoSpaceDE w:val="0"/>
        <w:autoSpaceDN w:val="0"/>
        <w:adjustRightInd w:val="0"/>
        <w:spacing w:after="0" w:line="240" w:lineRule="auto"/>
        <w:jc w:val="both"/>
        <w:rPr>
          <w:rFonts w:cstheme="minorHAnsi"/>
          <w:b/>
          <w:bCs/>
          <w:color w:val="000000"/>
          <w:lang w:val="en-IN"/>
        </w:rPr>
      </w:pPr>
    </w:p>
    <w:p w:rsidR="00FB3B98" w:rsidRDefault="00FB3B98" w:rsidP="000777F7">
      <w:pPr>
        <w:autoSpaceDE w:val="0"/>
        <w:autoSpaceDN w:val="0"/>
        <w:adjustRightInd w:val="0"/>
        <w:spacing w:after="0" w:line="240" w:lineRule="auto"/>
        <w:jc w:val="both"/>
        <w:rPr>
          <w:rFonts w:cstheme="minorHAnsi"/>
          <w:color w:val="000000"/>
          <w:lang w:val="en-IN"/>
        </w:rPr>
      </w:pPr>
      <w:r w:rsidRPr="001D1EFC">
        <w:rPr>
          <w:rFonts w:cstheme="minorHAnsi"/>
          <w:color w:val="000000"/>
          <w:lang w:val="en-IN"/>
        </w:rPr>
        <w:t xml:space="preserve">In addition, the Securities and Exchange Board of India (SEBI) reviewed the provisions of the </w:t>
      </w:r>
      <w:r w:rsidR="00C861E8" w:rsidRPr="00C861E8">
        <w:rPr>
          <w:rFonts w:cstheme="minorHAnsi"/>
          <w:color w:val="000000"/>
          <w:lang w:val="en-IN"/>
        </w:rPr>
        <w:t>SEBI (Listing Obligation and Disclosure Requirements) Regulation 2015</w:t>
      </w:r>
      <w:r w:rsidRPr="001D1EFC">
        <w:rPr>
          <w:rFonts w:cstheme="minorHAnsi"/>
          <w:color w:val="000000"/>
          <w:lang w:val="en-IN"/>
        </w:rPr>
        <w:t xml:space="preserve"> </w:t>
      </w:r>
      <w:proofErr w:type="spellStart"/>
      <w:r w:rsidRPr="001D1EFC">
        <w:rPr>
          <w:rFonts w:cstheme="minorHAnsi"/>
          <w:color w:val="000000"/>
          <w:lang w:val="en-IN"/>
        </w:rPr>
        <w:t>vis</w:t>
      </w:r>
      <w:proofErr w:type="spellEnd"/>
      <w:r w:rsidRPr="001D1EFC">
        <w:rPr>
          <w:rFonts w:cstheme="minorHAnsi"/>
          <w:color w:val="000000"/>
          <w:lang w:val="en-IN"/>
        </w:rPr>
        <w:t>-a-</w:t>
      </w:r>
      <w:proofErr w:type="spellStart"/>
      <w:r w:rsidRPr="001D1EFC">
        <w:rPr>
          <w:rFonts w:cstheme="minorHAnsi"/>
          <w:color w:val="000000"/>
          <w:lang w:val="en-IN"/>
        </w:rPr>
        <w:t>vis</w:t>
      </w:r>
      <w:proofErr w:type="spellEnd"/>
      <w:r w:rsidRPr="001D1EFC">
        <w:rPr>
          <w:rFonts w:cstheme="minorHAnsi"/>
          <w:color w:val="000000"/>
          <w:lang w:val="en-IN"/>
        </w:rPr>
        <w:t xml:space="preserve"> the Companies Act, 2013 and with the objectives to align with the provisions of the Companies Act, 2013, adopt best practices on corporate governance and to make the corporate governance framework more effective, revised </w:t>
      </w:r>
      <w:r w:rsidR="00C861E8" w:rsidRPr="00C861E8">
        <w:rPr>
          <w:rFonts w:cstheme="minorHAnsi"/>
          <w:color w:val="000000"/>
          <w:lang w:val="en-IN"/>
        </w:rPr>
        <w:t>Regulation 23(1) of the SEBI (Listing Obligation and Disclosure Requirements) Regulations, 2015.</w:t>
      </w:r>
    </w:p>
    <w:p w:rsidR="00C861E8" w:rsidRPr="001D1EFC" w:rsidRDefault="00C861E8" w:rsidP="000777F7">
      <w:pPr>
        <w:autoSpaceDE w:val="0"/>
        <w:autoSpaceDN w:val="0"/>
        <w:adjustRightInd w:val="0"/>
        <w:spacing w:after="0" w:line="240" w:lineRule="auto"/>
        <w:jc w:val="both"/>
        <w:rPr>
          <w:rFonts w:cstheme="minorHAnsi"/>
          <w:b/>
          <w:bCs/>
          <w:color w:val="000000"/>
          <w:lang w:val="en-IN"/>
        </w:rPr>
      </w:pPr>
    </w:p>
    <w:p w:rsidR="00FB3B98" w:rsidRPr="001D1EFC" w:rsidRDefault="00C861E8" w:rsidP="000777F7">
      <w:pPr>
        <w:autoSpaceDE w:val="0"/>
        <w:autoSpaceDN w:val="0"/>
        <w:adjustRightInd w:val="0"/>
        <w:spacing w:after="0" w:line="240" w:lineRule="auto"/>
        <w:jc w:val="both"/>
        <w:rPr>
          <w:rFonts w:cstheme="minorHAnsi"/>
          <w:color w:val="000000"/>
          <w:lang w:val="en-IN"/>
        </w:rPr>
      </w:pPr>
      <w:r w:rsidRPr="00C861E8">
        <w:rPr>
          <w:rFonts w:cstheme="minorHAnsi"/>
          <w:color w:val="000000"/>
          <w:lang w:val="en-IN"/>
        </w:rPr>
        <w:t xml:space="preserve">Pursuant to the revised Regulation 23(1) of the SEBI (Listing Obligation and Disclosure Requirements) Regulations, 2015, </w:t>
      </w:r>
      <w:r w:rsidR="00FB3B98" w:rsidRPr="001D1EFC">
        <w:rPr>
          <w:rFonts w:cstheme="minorHAnsi"/>
          <w:color w:val="000000"/>
          <w:lang w:val="en-IN"/>
        </w:rPr>
        <w:t xml:space="preserve">all the listed companies need to formulate a policy on materiality of related party transactions and also a policy on dealing with related party transactions </w:t>
      </w:r>
    </w:p>
    <w:p w:rsidR="008971FF" w:rsidRPr="009B55C2" w:rsidRDefault="008971FF" w:rsidP="000777F7">
      <w:pPr>
        <w:autoSpaceDE w:val="0"/>
        <w:autoSpaceDN w:val="0"/>
        <w:adjustRightInd w:val="0"/>
        <w:spacing w:after="0" w:line="240" w:lineRule="auto"/>
        <w:jc w:val="both"/>
        <w:rPr>
          <w:rFonts w:cstheme="minorHAnsi"/>
          <w:color w:val="000000"/>
          <w:sz w:val="24"/>
          <w:szCs w:val="24"/>
          <w:lang w:val="en-IN"/>
        </w:rPr>
      </w:pPr>
    </w:p>
    <w:p w:rsidR="008971FF" w:rsidRPr="001D1EFC" w:rsidRDefault="0005586E" w:rsidP="009B55C2">
      <w:pPr>
        <w:autoSpaceDE w:val="0"/>
        <w:autoSpaceDN w:val="0"/>
        <w:adjustRightInd w:val="0"/>
        <w:spacing w:after="0" w:line="360" w:lineRule="auto"/>
        <w:jc w:val="both"/>
        <w:rPr>
          <w:rFonts w:cstheme="minorHAnsi"/>
          <w:b/>
          <w:bCs/>
          <w:i/>
          <w:color w:val="000000"/>
          <w:sz w:val="26"/>
          <w:szCs w:val="26"/>
          <w:u w:val="single"/>
        </w:rPr>
      </w:pPr>
      <w:r w:rsidRPr="0005586E">
        <w:rPr>
          <w:rFonts w:cstheme="minorHAnsi"/>
          <w:b/>
          <w:bCs/>
          <w:i/>
          <w:color w:val="000000"/>
          <w:sz w:val="26"/>
          <w:szCs w:val="26"/>
        </w:rPr>
        <w:t>2.</w:t>
      </w:r>
      <w:r>
        <w:rPr>
          <w:rFonts w:cstheme="minorHAnsi"/>
          <w:b/>
          <w:bCs/>
          <w:i/>
          <w:color w:val="000000"/>
          <w:sz w:val="26"/>
          <w:szCs w:val="26"/>
          <w:u w:val="single"/>
        </w:rPr>
        <w:t xml:space="preserve"> Scope of t</w:t>
      </w:r>
      <w:r w:rsidRPr="001D1EFC">
        <w:rPr>
          <w:rFonts w:cstheme="minorHAnsi"/>
          <w:b/>
          <w:bCs/>
          <w:i/>
          <w:color w:val="000000"/>
          <w:sz w:val="26"/>
          <w:szCs w:val="26"/>
          <w:u w:val="single"/>
        </w:rPr>
        <w:t>he Policy:</w:t>
      </w:r>
    </w:p>
    <w:p w:rsidR="000B21CB" w:rsidRPr="001D1EFC" w:rsidRDefault="008971FF" w:rsidP="000777F7">
      <w:pPr>
        <w:autoSpaceDE w:val="0"/>
        <w:autoSpaceDN w:val="0"/>
        <w:adjustRightInd w:val="0"/>
        <w:spacing w:after="0" w:line="240" w:lineRule="auto"/>
        <w:jc w:val="both"/>
        <w:rPr>
          <w:rFonts w:cstheme="minorHAnsi"/>
          <w:bCs/>
          <w:color w:val="000000"/>
          <w:lang w:val="en-IN"/>
        </w:rPr>
      </w:pPr>
      <w:r w:rsidRPr="001D1EFC">
        <w:rPr>
          <w:rFonts w:cstheme="minorHAnsi"/>
          <w:color w:val="000000"/>
          <w:lang w:val="en-IN"/>
        </w:rPr>
        <w:t xml:space="preserve">Related party transactions can present a potential or actual conflict of interest which may be against the best interest of the company and its shareholders. Considering the requirements for approval of related party transactions as prescribed under the Companies Act, 2013 (“Act”) read with the Rules framed there under and </w:t>
      </w:r>
      <w:r w:rsidR="00C861E8" w:rsidRPr="00C861E8">
        <w:rPr>
          <w:rFonts w:cstheme="minorHAnsi"/>
          <w:color w:val="000000"/>
          <w:lang w:val="en-IN"/>
        </w:rPr>
        <w:t>Regulation 23(1) of the SEBI (Listing Obligation and Disclosure Requirements) Regulations 2015</w:t>
      </w:r>
      <w:proofErr w:type="gramStart"/>
      <w:r w:rsidR="00C861E8" w:rsidRPr="00C861E8">
        <w:rPr>
          <w:rFonts w:cstheme="minorHAnsi"/>
          <w:color w:val="000000"/>
          <w:lang w:val="en-IN"/>
        </w:rPr>
        <w:t xml:space="preserve">, </w:t>
      </w:r>
      <w:r w:rsidR="00C861E8">
        <w:rPr>
          <w:rFonts w:cstheme="minorHAnsi"/>
          <w:color w:val="000000"/>
          <w:lang w:val="en-IN"/>
        </w:rPr>
        <w:t xml:space="preserve"> </w:t>
      </w:r>
      <w:proofErr w:type="spellStart"/>
      <w:r w:rsidR="0080004A" w:rsidRPr="001D1EFC">
        <w:rPr>
          <w:rFonts w:cstheme="minorHAnsi"/>
          <w:color w:val="000000"/>
          <w:lang w:val="en-IN"/>
        </w:rPr>
        <w:t>Phyto</w:t>
      </w:r>
      <w:proofErr w:type="spellEnd"/>
      <w:proofErr w:type="gramEnd"/>
      <w:r w:rsidR="0080004A" w:rsidRPr="001D1EFC">
        <w:rPr>
          <w:rFonts w:cstheme="minorHAnsi"/>
          <w:color w:val="000000"/>
          <w:lang w:val="en-IN"/>
        </w:rPr>
        <w:t xml:space="preserve"> </w:t>
      </w:r>
      <w:proofErr w:type="spellStart"/>
      <w:r w:rsidR="0080004A" w:rsidRPr="001D1EFC">
        <w:rPr>
          <w:rFonts w:cstheme="minorHAnsi"/>
          <w:color w:val="000000"/>
          <w:lang w:val="en-IN"/>
        </w:rPr>
        <w:t>chem</w:t>
      </w:r>
      <w:proofErr w:type="spellEnd"/>
      <w:r w:rsidR="0080004A" w:rsidRPr="001D1EFC">
        <w:rPr>
          <w:rFonts w:cstheme="minorHAnsi"/>
          <w:color w:val="000000"/>
          <w:lang w:val="en-IN"/>
        </w:rPr>
        <w:t xml:space="preserve"> (India)</w:t>
      </w:r>
      <w:r w:rsidRPr="001D1EFC">
        <w:rPr>
          <w:rFonts w:cstheme="minorHAnsi"/>
          <w:color w:val="000000"/>
          <w:lang w:val="en-IN"/>
        </w:rPr>
        <w:t xml:space="preserve"> Limited has </w:t>
      </w:r>
      <w:r w:rsidR="00C861E8">
        <w:rPr>
          <w:rFonts w:cstheme="minorHAnsi"/>
          <w:color w:val="000000"/>
          <w:lang w:val="en-IN"/>
        </w:rPr>
        <w:t>amended</w:t>
      </w:r>
      <w:r w:rsidRPr="001D1EFC">
        <w:rPr>
          <w:rFonts w:cstheme="minorHAnsi"/>
          <w:color w:val="000000"/>
          <w:lang w:val="en-IN"/>
        </w:rPr>
        <w:t xml:space="preserve"> guidelines for identification of related parties and the proper conduct and documentation of all related party transactions. </w:t>
      </w:r>
    </w:p>
    <w:p w:rsidR="000777F7" w:rsidRDefault="000777F7" w:rsidP="009B55C2">
      <w:pPr>
        <w:autoSpaceDE w:val="0"/>
        <w:autoSpaceDN w:val="0"/>
        <w:adjustRightInd w:val="0"/>
        <w:spacing w:after="0" w:line="360" w:lineRule="auto"/>
        <w:jc w:val="both"/>
        <w:rPr>
          <w:rFonts w:cstheme="minorHAnsi"/>
          <w:color w:val="000000"/>
          <w:lang w:val="en-IN"/>
        </w:rPr>
      </w:pPr>
    </w:p>
    <w:p w:rsidR="008971FF" w:rsidRPr="001D1EFC" w:rsidRDefault="008971FF" w:rsidP="000777F7">
      <w:pPr>
        <w:autoSpaceDE w:val="0"/>
        <w:autoSpaceDN w:val="0"/>
        <w:adjustRightInd w:val="0"/>
        <w:spacing w:after="0" w:line="240" w:lineRule="auto"/>
        <w:jc w:val="both"/>
        <w:rPr>
          <w:rFonts w:cstheme="minorHAnsi"/>
          <w:color w:val="000000"/>
          <w:lang w:val="en-IN"/>
        </w:rPr>
      </w:pPr>
      <w:r w:rsidRPr="001D1EFC">
        <w:rPr>
          <w:rFonts w:cstheme="minorHAnsi"/>
          <w:color w:val="000000"/>
          <w:lang w:val="en-IN"/>
        </w:rPr>
        <w:t xml:space="preserve">Also, </w:t>
      </w:r>
      <w:r w:rsidR="00C861E8" w:rsidRPr="00C861E8">
        <w:rPr>
          <w:rFonts w:cstheme="minorHAnsi"/>
          <w:color w:val="000000"/>
          <w:lang w:val="en-IN"/>
        </w:rPr>
        <w:t xml:space="preserve">Regulation 23(1) of the SEBI (Listing Obligation and Disclosure Requirements) Regulations </w:t>
      </w:r>
      <w:proofErr w:type="gramStart"/>
      <w:r w:rsidR="00C861E8" w:rsidRPr="00C861E8">
        <w:rPr>
          <w:rFonts w:cstheme="minorHAnsi"/>
          <w:color w:val="000000"/>
          <w:lang w:val="en-IN"/>
        </w:rPr>
        <w:t>2015,</w:t>
      </w:r>
      <w:proofErr w:type="gramEnd"/>
      <w:r w:rsidRPr="001D1EFC">
        <w:rPr>
          <w:rFonts w:cstheme="minorHAnsi"/>
          <w:color w:val="000000"/>
          <w:lang w:val="en-IN"/>
        </w:rPr>
        <w:t xml:space="preserve"> requires a company to formulate a policy on materiality of related party transactions and </w:t>
      </w:r>
      <w:r w:rsidR="009E5719" w:rsidRPr="001D1EFC">
        <w:rPr>
          <w:rFonts w:cstheme="minorHAnsi"/>
          <w:color w:val="000000"/>
          <w:lang w:val="en-IN"/>
        </w:rPr>
        <w:t>the Company</w:t>
      </w:r>
      <w:r w:rsidR="00D86A48" w:rsidRPr="001D1EFC">
        <w:rPr>
          <w:rFonts w:cstheme="minorHAnsi"/>
          <w:color w:val="000000"/>
          <w:lang w:val="en-IN"/>
        </w:rPr>
        <w:t xml:space="preserve"> </w:t>
      </w:r>
      <w:r w:rsidRPr="001D1EFC">
        <w:rPr>
          <w:rFonts w:cstheme="minorHAnsi"/>
          <w:color w:val="000000"/>
          <w:lang w:val="en-IN"/>
        </w:rPr>
        <w:t>has framed this Policy on Related Party Transactions (“Policy”). This Policy has been adopted by the Board of Directors of the Company based on recommendations of the Audit Committee. Going forward, the Audit Committee would review and amend the Policy, as and when required, subject to the approval of the Board.</w:t>
      </w:r>
    </w:p>
    <w:p w:rsidR="009B55C2" w:rsidRPr="009B55C2" w:rsidRDefault="009B55C2" w:rsidP="009B55C2">
      <w:pPr>
        <w:autoSpaceDE w:val="0"/>
        <w:autoSpaceDN w:val="0"/>
        <w:adjustRightInd w:val="0"/>
        <w:spacing w:after="0" w:line="360" w:lineRule="auto"/>
        <w:jc w:val="both"/>
        <w:rPr>
          <w:rFonts w:cstheme="minorHAnsi"/>
          <w:color w:val="000000"/>
          <w:sz w:val="24"/>
          <w:szCs w:val="24"/>
          <w:lang w:val="en-IN"/>
        </w:rPr>
      </w:pPr>
    </w:p>
    <w:p w:rsidR="000B21CB" w:rsidRPr="001D1EFC" w:rsidRDefault="0005586E" w:rsidP="009B55C2">
      <w:pPr>
        <w:autoSpaceDE w:val="0"/>
        <w:autoSpaceDN w:val="0"/>
        <w:adjustRightInd w:val="0"/>
        <w:spacing w:after="0" w:line="360" w:lineRule="auto"/>
        <w:jc w:val="both"/>
        <w:rPr>
          <w:rFonts w:cstheme="minorHAnsi"/>
          <w:b/>
          <w:bCs/>
          <w:i/>
          <w:color w:val="000000"/>
          <w:sz w:val="26"/>
          <w:szCs w:val="26"/>
          <w:u w:val="single"/>
        </w:rPr>
      </w:pPr>
      <w:r w:rsidRPr="0005586E">
        <w:rPr>
          <w:rFonts w:cstheme="minorHAnsi"/>
          <w:b/>
          <w:bCs/>
          <w:i/>
          <w:color w:val="000000"/>
          <w:sz w:val="26"/>
          <w:szCs w:val="26"/>
        </w:rPr>
        <w:t>3.</w:t>
      </w:r>
      <w:r>
        <w:rPr>
          <w:rFonts w:cstheme="minorHAnsi"/>
          <w:b/>
          <w:bCs/>
          <w:i/>
          <w:color w:val="000000"/>
          <w:sz w:val="26"/>
          <w:szCs w:val="26"/>
        </w:rPr>
        <w:t xml:space="preserve"> </w:t>
      </w:r>
      <w:r>
        <w:rPr>
          <w:rFonts w:cstheme="minorHAnsi"/>
          <w:b/>
          <w:bCs/>
          <w:i/>
          <w:color w:val="000000"/>
          <w:sz w:val="26"/>
          <w:szCs w:val="26"/>
          <w:u w:val="single"/>
        </w:rPr>
        <w:t>Objective of t</w:t>
      </w:r>
      <w:r w:rsidRPr="001D1EFC">
        <w:rPr>
          <w:rFonts w:cstheme="minorHAnsi"/>
          <w:b/>
          <w:bCs/>
          <w:i/>
          <w:color w:val="000000"/>
          <w:sz w:val="26"/>
          <w:szCs w:val="26"/>
          <w:u w:val="single"/>
        </w:rPr>
        <w:t>he Policy:</w:t>
      </w:r>
    </w:p>
    <w:p w:rsidR="000B21CB" w:rsidRPr="001D1EFC" w:rsidRDefault="000B21CB" w:rsidP="000777F7">
      <w:pPr>
        <w:autoSpaceDE w:val="0"/>
        <w:autoSpaceDN w:val="0"/>
        <w:adjustRightInd w:val="0"/>
        <w:spacing w:after="0" w:line="240" w:lineRule="auto"/>
        <w:jc w:val="both"/>
        <w:rPr>
          <w:rFonts w:cstheme="minorHAnsi"/>
          <w:lang w:val="en-IN"/>
        </w:rPr>
      </w:pPr>
      <w:r w:rsidRPr="001D1EFC">
        <w:rPr>
          <w:rFonts w:cstheme="minorHAnsi"/>
          <w:lang w:val="en-IN"/>
        </w:rPr>
        <w:t xml:space="preserve">The objective of this Policy is to set out (a) the materiality thresholds for related party transactions and; (b) the manner of dealing with the transactions between the Company and its related parties based on the Act, </w:t>
      </w:r>
      <w:r w:rsidR="00C861E8" w:rsidRPr="00C861E8">
        <w:rPr>
          <w:rFonts w:cstheme="minorHAnsi"/>
          <w:lang w:val="en-IN"/>
        </w:rPr>
        <w:t>Regulation 23(1) of the SEBI (Listing Obligation and Disclosure Requirements) Regulations 2015,</w:t>
      </w:r>
      <w:r w:rsidR="00C861E8">
        <w:rPr>
          <w:rFonts w:cstheme="minorHAnsi"/>
          <w:lang w:val="en-IN"/>
        </w:rPr>
        <w:t xml:space="preserve"> </w:t>
      </w:r>
      <w:r w:rsidRPr="001D1EFC">
        <w:rPr>
          <w:rFonts w:cstheme="minorHAnsi"/>
          <w:lang w:val="en-IN"/>
        </w:rPr>
        <w:t>and any other laws and regulations as may be applicable to the Company.</w:t>
      </w:r>
    </w:p>
    <w:p w:rsidR="000B21CB" w:rsidRPr="009B55C2" w:rsidRDefault="000B21CB" w:rsidP="009B55C2">
      <w:pPr>
        <w:autoSpaceDE w:val="0"/>
        <w:autoSpaceDN w:val="0"/>
        <w:adjustRightInd w:val="0"/>
        <w:spacing w:after="0" w:line="360" w:lineRule="auto"/>
        <w:jc w:val="both"/>
        <w:rPr>
          <w:rFonts w:cstheme="minorHAnsi"/>
          <w:sz w:val="24"/>
          <w:szCs w:val="24"/>
          <w:lang w:val="en-IN"/>
        </w:rPr>
      </w:pPr>
    </w:p>
    <w:p w:rsidR="000B21CB" w:rsidRPr="001D1EFC" w:rsidRDefault="0005586E" w:rsidP="009B55C2">
      <w:pPr>
        <w:autoSpaceDE w:val="0"/>
        <w:autoSpaceDN w:val="0"/>
        <w:adjustRightInd w:val="0"/>
        <w:spacing w:after="0" w:line="360" w:lineRule="auto"/>
        <w:jc w:val="both"/>
        <w:rPr>
          <w:rFonts w:cstheme="minorHAnsi"/>
          <w:b/>
          <w:bCs/>
          <w:i/>
          <w:color w:val="000000"/>
          <w:sz w:val="26"/>
          <w:szCs w:val="26"/>
          <w:u w:val="single"/>
        </w:rPr>
      </w:pPr>
      <w:r w:rsidRPr="0005586E">
        <w:rPr>
          <w:rFonts w:cstheme="minorHAnsi"/>
          <w:b/>
          <w:bCs/>
          <w:i/>
          <w:color w:val="000000"/>
          <w:sz w:val="26"/>
          <w:szCs w:val="26"/>
        </w:rPr>
        <w:lastRenderedPageBreak/>
        <w:t>4.</w:t>
      </w:r>
      <w:r>
        <w:rPr>
          <w:rFonts w:cstheme="minorHAnsi"/>
          <w:b/>
          <w:bCs/>
          <w:i/>
          <w:color w:val="000000"/>
          <w:sz w:val="26"/>
          <w:szCs w:val="26"/>
          <w:u w:val="single"/>
        </w:rPr>
        <w:t xml:space="preserve"> </w:t>
      </w:r>
      <w:r w:rsidRPr="001D1EFC">
        <w:rPr>
          <w:rFonts w:cstheme="minorHAnsi"/>
          <w:b/>
          <w:bCs/>
          <w:i/>
          <w:color w:val="000000"/>
          <w:sz w:val="26"/>
          <w:szCs w:val="26"/>
          <w:u w:val="single"/>
        </w:rPr>
        <w:t>Definitions:</w:t>
      </w:r>
    </w:p>
    <w:p w:rsidR="009B55C2" w:rsidRPr="001D1EFC" w:rsidRDefault="000B21CB" w:rsidP="000777F7">
      <w:pPr>
        <w:autoSpaceDE w:val="0"/>
        <w:autoSpaceDN w:val="0"/>
        <w:adjustRightInd w:val="0"/>
        <w:spacing w:after="0" w:line="240" w:lineRule="auto"/>
        <w:jc w:val="both"/>
        <w:rPr>
          <w:rFonts w:cstheme="minorHAnsi"/>
          <w:bCs/>
          <w:color w:val="000000"/>
          <w:lang w:val="en-IN"/>
        </w:rPr>
      </w:pPr>
      <w:r w:rsidRPr="001D1EFC">
        <w:rPr>
          <w:rFonts w:cstheme="minorHAnsi"/>
          <w:bCs/>
          <w:color w:val="000000"/>
          <w:lang w:val="en-IN"/>
        </w:rPr>
        <w:t xml:space="preserve">Related Party Transaction: “Related Party Transaction” is a transfer of any resources, services or obligations between the Company and a related party, regardless of whether a price is charged. (A transaction with a related party shall be construed to include single transaction or a group of transactions in a contract). </w:t>
      </w:r>
    </w:p>
    <w:p w:rsidR="009B55C2" w:rsidRPr="001D1EFC" w:rsidRDefault="009B55C2" w:rsidP="009B55C2">
      <w:pPr>
        <w:autoSpaceDE w:val="0"/>
        <w:autoSpaceDN w:val="0"/>
        <w:adjustRightInd w:val="0"/>
        <w:spacing w:after="0" w:line="360" w:lineRule="auto"/>
        <w:jc w:val="both"/>
        <w:rPr>
          <w:rFonts w:cstheme="minorHAnsi"/>
          <w:bCs/>
          <w:color w:val="000000"/>
          <w:lang w:val="en-IN"/>
        </w:rPr>
      </w:pPr>
    </w:p>
    <w:p w:rsidR="008528CA" w:rsidRPr="001D1EFC" w:rsidRDefault="00EB7DFC" w:rsidP="009B55C2">
      <w:pPr>
        <w:autoSpaceDE w:val="0"/>
        <w:autoSpaceDN w:val="0"/>
        <w:adjustRightInd w:val="0"/>
        <w:spacing w:after="0" w:line="360" w:lineRule="auto"/>
        <w:jc w:val="both"/>
        <w:rPr>
          <w:rFonts w:cstheme="minorHAnsi"/>
          <w:bCs/>
          <w:i/>
          <w:color w:val="000000"/>
          <w:sz w:val="26"/>
          <w:szCs w:val="26"/>
          <w:lang w:val="en-IN"/>
        </w:rPr>
      </w:pPr>
      <w:r w:rsidRPr="00EB7DFC">
        <w:rPr>
          <w:rFonts w:cstheme="minorHAnsi"/>
          <w:b/>
          <w:bCs/>
          <w:i/>
          <w:color w:val="000000"/>
          <w:sz w:val="26"/>
          <w:szCs w:val="26"/>
          <w:lang w:val="en-IN"/>
        </w:rPr>
        <w:t xml:space="preserve">a. </w:t>
      </w:r>
      <w:r w:rsidR="008528CA" w:rsidRPr="001D1EFC">
        <w:rPr>
          <w:rFonts w:cstheme="minorHAnsi"/>
          <w:b/>
          <w:bCs/>
          <w:i/>
          <w:color w:val="000000"/>
          <w:sz w:val="26"/>
          <w:szCs w:val="26"/>
          <w:u w:val="single"/>
          <w:lang w:val="en-IN"/>
        </w:rPr>
        <w:t>Related Party</w:t>
      </w:r>
      <w:r>
        <w:rPr>
          <w:rFonts w:cstheme="minorHAnsi"/>
          <w:b/>
          <w:bCs/>
          <w:i/>
          <w:color w:val="000000"/>
          <w:sz w:val="26"/>
          <w:szCs w:val="26"/>
          <w:u w:val="single"/>
          <w:lang w:val="en-IN"/>
        </w:rPr>
        <w:t>:</w:t>
      </w:r>
    </w:p>
    <w:p w:rsidR="008528CA" w:rsidRPr="009B55C2" w:rsidRDefault="00EB7DFC" w:rsidP="00C861E8">
      <w:pPr>
        <w:autoSpaceDE w:val="0"/>
        <w:autoSpaceDN w:val="0"/>
        <w:adjustRightInd w:val="0"/>
        <w:spacing w:after="0" w:line="360" w:lineRule="auto"/>
        <w:jc w:val="both"/>
        <w:rPr>
          <w:rFonts w:cstheme="minorHAnsi"/>
          <w:b/>
          <w:bCs/>
          <w:color w:val="000000"/>
          <w:sz w:val="24"/>
          <w:szCs w:val="24"/>
        </w:rPr>
      </w:pPr>
      <w:proofErr w:type="spellStart"/>
      <w:proofErr w:type="gramStart"/>
      <w:r>
        <w:rPr>
          <w:rFonts w:cstheme="minorHAnsi"/>
          <w:b/>
          <w:bCs/>
          <w:color w:val="000000"/>
          <w:sz w:val="24"/>
          <w:szCs w:val="24"/>
        </w:rPr>
        <w:t>i</w:t>
      </w:r>
      <w:proofErr w:type="spellEnd"/>
      <w:proofErr w:type="gramEnd"/>
      <w:r>
        <w:rPr>
          <w:rFonts w:cstheme="minorHAnsi"/>
          <w:b/>
          <w:bCs/>
          <w:color w:val="000000"/>
          <w:sz w:val="24"/>
          <w:szCs w:val="24"/>
        </w:rPr>
        <w:t xml:space="preserve">. </w:t>
      </w:r>
      <w:r w:rsidR="00C861E8" w:rsidRPr="00C861E8">
        <w:rPr>
          <w:rFonts w:cstheme="minorHAnsi"/>
          <w:b/>
          <w:bCs/>
          <w:color w:val="000000"/>
          <w:sz w:val="24"/>
          <w:szCs w:val="24"/>
        </w:rPr>
        <w:t xml:space="preserve">Under </w:t>
      </w:r>
      <w:r w:rsidR="00C861E8" w:rsidRPr="00C861E8">
        <w:rPr>
          <w:rFonts w:cstheme="minorHAnsi"/>
          <w:b/>
          <w:bCs/>
          <w:color w:val="000000"/>
          <w:sz w:val="24"/>
          <w:szCs w:val="24"/>
          <w:lang w:val="en-IN"/>
        </w:rPr>
        <w:t>Regulation 23(1) of the SEBI (Listing Obligation and Disclosure Requirements) Regulations 2015</w:t>
      </w:r>
      <w:r w:rsidR="00C861E8">
        <w:rPr>
          <w:rFonts w:cstheme="minorHAnsi"/>
          <w:b/>
          <w:bCs/>
          <w:color w:val="000000"/>
          <w:sz w:val="24"/>
          <w:szCs w:val="24"/>
          <w:lang w:val="en-IN"/>
        </w:rPr>
        <w:t xml:space="preserve"> </w:t>
      </w:r>
      <w:r w:rsidR="008528CA" w:rsidRPr="009B55C2">
        <w:rPr>
          <w:rFonts w:cstheme="minorHAnsi"/>
          <w:b/>
          <w:bCs/>
          <w:color w:val="000000"/>
          <w:sz w:val="24"/>
          <w:szCs w:val="24"/>
        </w:rPr>
        <w:t>with the Stock Exchanges</w:t>
      </w:r>
    </w:p>
    <w:p w:rsidR="008528CA" w:rsidRPr="001D1EFC" w:rsidRDefault="008528CA" w:rsidP="009B55C2">
      <w:pPr>
        <w:autoSpaceDE w:val="0"/>
        <w:autoSpaceDN w:val="0"/>
        <w:adjustRightInd w:val="0"/>
        <w:spacing w:after="0" w:line="360" w:lineRule="auto"/>
        <w:ind w:left="360"/>
        <w:jc w:val="both"/>
        <w:rPr>
          <w:rFonts w:cstheme="minorHAnsi"/>
          <w:bCs/>
          <w:color w:val="000000"/>
        </w:rPr>
      </w:pPr>
      <w:r w:rsidRPr="001D1EFC">
        <w:rPr>
          <w:rFonts w:cstheme="minorHAnsi"/>
          <w:bCs/>
          <w:color w:val="000000"/>
        </w:rPr>
        <w:t>An entity shall be considered as related to the company if:</w:t>
      </w:r>
    </w:p>
    <w:p w:rsidR="008528CA" w:rsidRPr="001D1EFC" w:rsidRDefault="008528CA" w:rsidP="009B55C2">
      <w:pPr>
        <w:autoSpaceDE w:val="0"/>
        <w:autoSpaceDN w:val="0"/>
        <w:adjustRightInd w:val="0"/>
        <w:spacing w:after="0" w:line="360" w:lineRule="auto"/>
        <w:ind w:left="720"/>
        <w:jc w:val="both"/>
        <w:rPr>
          <w:rFonts w:cstheme="minorHAnsi"/>
          <w:bCs/>
          <w:color w:val="000000"/>
        </w:rPr>
      </w:pPr>
      <w:proofErr w:type="gramStart"/>
      <w:r w:rsidRPr="001D1EFC">
        <w:rPr>
          <w:rFonts w:cstheme="minorHAnsi"/>
          <w:bCs/>
          <w:color w:val="000000"/>
        </w:rPr>
        <w:t>a</w:t>
      </w:r>
      <w:proofErr w:type="gramEnd"/>
      <w:r w:rsidRPr="001D1EFC">
        <w:rPr>
          <w:rFonts w:cstheme="minorHAnsi"/>
          <w:bCs/>
          <w:color w:val="000000"/>
        </w:rPr>
        <w:t>.</w:t>
      </w:r>
      <w:r w:rsidR="00643828" w:rsidRPr="001D1EFC">
        <w:rPr>
          <w:rFonts w:cstheme="minorHAnsi"/>
          <w:bCs/>
          <w:color w:val="000000"/>
        </w:rPr>
        <w:t xml:space="preserve"> </w:t>
      </w:r>
      <w:r w:rsidRPr="001D1EFC">
        <w:rPr>
          <w:rFonts w:cstheme="minorHAnsi"/>
          <w:bCs/>
          <w:color w:val="000000"/>
        </w:rPr>
        <w:t>such entity is a related party under Section 2(76) of the Companies Act, 2013; or</w:t>
      </w:r>
    </w:p>
    <w:p w:rsidR="008528CA" w:rsidRPr="001D1EFC" w:rsidRDefault="00643828" w:rsidP="009B55C2">
      <w:pPr>
        <w:autoSpaceDE w:val="0"/>
        <w:autoSpaceDN w:val="0"/>
        <w:adjustRightInd w:val="0"/>
        <w:spacing w:after="0" w:line="360" w:lineRule="auto"/>
        <w:ind w:left="720"/>
        <w:jc w:val="both"/>
        <w:rPr>
          <w:rFonts w:cstheme="minorHAnsi"/>
          <w:bCs/>
          <w:color w:val="000000"/>
        </w:rPr>
      </w:pPr>
      <w:proofErr w:type="gramStart"/>
      <w:r w:rsidRPr="001D1EFC">
        <w:rPr>
          <w:rFonts w:cstheme="minorHAnsi"/>
          <w:bCs/>
          <w:color w:val="000000"/>
        </w:rPr>
        <w:t>b</w:t>
      </w:r>
      <w:proofErr w:type="gramEnd"/>
      <w:r w:rsidRPr="001D1EFC">
        <w:rPr>
          <w:rFonts w:cstheme="minorHAnsi"/>
          <w:bCs/>
          <w:color w:val="000000"/>
        </w:rPr>
        <w:t xml:space="preserve">. </w:t>
      </w:r>
      <w:r w:rsidR="008528CA" w:rsidRPr="001D1EFC">
        <w:rPr>
          <w:rFonts w:cstheme="minorHAnsi"/>
          <w:bCs/>
          <w:color w:val="000000"/>
        </w:rPr>
        <w:t>such entity is a related party under the applicable accounting standards.</w:t>
      </w:r>
    </w:p>
    <w:p w:rsidR="008528CA" w:rsidRPr="001D1EFC" w:rsidRDefault="00EB7DFC" w:rsidP="009B55C2">
      <w:pPr>
        <w:autoSpaceDE w:val="0"/>
        <w:autoSpaceDN w:val="0"/>
        <w:adjustRightInd w:val="0"/>
        <w:spacing w:after="0" w:line="360" w:lineRule="auto"/>
        <w:ind w:firstLine="360"/>
        <w:jc w:val="both"/>
        <w:rPr>
          <w:rFonts w:cstheme="minorHAnsi"/>
          <w:b/>
          <w:bCs/>
          <w:i/>
          <w:color w:val="000000"/>
          <w:sz w:val="24"/>
          <w:szCs w:val="24"/>
        </w:rPr>
      </w:pPr>
      <w:proofErr w:type="gramStart"/>
      <w:r>
        <w:rPr>
          <w:rFonts w:cstheme="minorHAnsi"/>
          <w:b/>
          <w:bCs/>
          <w:i/>
          <w:color w:val="000000"/>
          <w:sz w:val="24"/>
          <w:szCs w:val="24"/>
        </w:rPr>
        <w:t>ii</w:t>
      </w:r>
      <w:proofErr w:type="gramEnd"/>
      <w:r>
        <w:rPr>
          <w:rFonts w:cstheme="minorHAnsi"/>
          <w:b/>
          <w:bCs/>
          <w:i/>
          <w:color w:val="000000"/>
          <w:sz w:val="24"/>
          <w:szCs w:val="24"/>
        </w:rPr>
        <w:t xml:space="preserve">. </w:t>
      </w:r>
      <w:r w:rsidR="008528CA" w:rsidRPr="001D1EFC">
        <w:rPr>
          <w:rFonts w:cstheme="minorHAnsi"/>
          <w:b/>
          <w:bCs/>
          <w:i/>
          <w:color w:val="000000"/>
          <w:sz w:val="24"/>
          <w:szCs w:val="24"/>
        </w:rPr>
        <w:t>As per Accounting Standard 18:</w:t>
      </w:r>
    </w:p>
    <w:p w:rsidR="008528CA" w:rsidRPr="001D1EFC" w:rsidRDefault="001D1EFC" w:rsidP="009B55C2">
      <w:pPr>
        <w:pStyle w:val="ListParagraph"/>
        <w:numPr>
          <w:ilvl w:val="0"/>
          <w:numId w:val="13"/>
        </w:numPr>
        <w:autoSpaceDE w:val="0"/>
        <w:autoSpaceDN w:val="0"/>
        <w:adjustRightInd w:val="0"/>
        <w:spacing w:after="0"/>
        <w:jc w:val="both"/>
        <w:rPr>
          <w:rFonts w:cstheme="minorHAnsi"/>
          <w:b/>
          <w:bCs/>
          <w:color w:val="000000"/>
        </w:rPr>
      </w:pPr>
      <w:r>
        <w:rPr>
          <w:rFonts w:cstheme="minorHAnsi"/>
          <w:bCs/>
          <w:color w:val="000000"/>
        </w:rPr>
        <w:t>e</w:t>
      </w:r>
      <w:r w:rsidR="008528CA" w:rsidRPr="001D1EFC">
        <w:rPr>
          <w:rFonts w:cstheme="minorHAnsi"/>
          <w:bCs/>
          <w:color w:val="000000"/>
        </w:rPr>
        <w:t xml:space="preserve">nterprises that directly, or indirectly through one or more intermediaries, control, or are controlled by, or are under common control with, the reporting enterprise (this  includes holding companies, subsidiaries and fellow subsidiaries); </w:t>
      </w:r>
    </w:p>
    <w:p w:rsidR="008528CA" w:rsidRPr="001D1EFC" w:rsidRDefault="008528CA" w:rsidP="009B55C2">
      <w:pPr>
        <w:pStyle w:val="ListParagraph"/>
        <w:numPr>
          <w:ilvl w:val="0"/>
          <w:numId w:val="13"/>
        </w:numPr>
        <w:autoSpaceDE w:val="0"/>
        <w:autoSpaceDN w:val="0"/>
        <w:adjustRightInd w:val="0"/>
        <w:spacing w:after="0"/>
        <w:jc w:val="both"/>
        <w:rPr>
          <w:rFonts w:cstheme="minorHAnsi"/>
          <w:bCs/>
          <w:color w:val="000000"/>
        </w:rPr>
      </w:pPr>
      <w:r w:rsidRPr="001D1EFC">
        <w:rPr>
          <w:rFonts w:cstheme="minorHAnsi"/>
          <w:bCs/>
          <w:color w:val="000000"/>
        </w:rPr>
        <w:t>associates and joint ventures of the reporting enterp</w:t>
      </w:r>
      <w:r w:rsidR="00643828" w:rsidRPr="001D1EFC">
        <w:rPr>
          <w:rFonts w:cstheme="minorHAnsi"/>
          <w:bCs/>
          <w:color w:val="000000"/>
        </w:rPr>
        <w:t xml:space="preserve">rise and the investing party or </w:t>
      </w:r>
      <w:r w:rsidRPr="001D1EFC">
        <w:rPr>
          <w:rFonts w:cstheme="minorHAnsi"/>
          <w:bCs/>
          <w:color w:val="000000"/>
        </w:rPr>
        <w:t xml:space="preserve">venture in respect of which the reporting enterprise is an associate or a joint venture; </w:t>
      </w:r>
    </w:p>
    <w:p w:rsidR="008528CA" w:rsidRPr="001D1EFC" w:rsidRDefault="008528CA" w:rsidP="009B55C2">
      <w:pPr>
        <w:pStyle w:val="ListParagraph"/>
        <w:numPr>
          <w:ilvl w:val="0"/>
          <w:numId w:val="13"/>
        </w:numPr>
        <w:autoSpaceDE w:val="0"/>
        <w:autoSpaceDN w:val="0"/>
        <w:adjustRightInd w:val="0"/>
        <w:spacing w:after="0"/>
        <w:jc w:val="both"/>
        <w:rPr>
          <w:rFonts w:cstheme="minorHAnsi"/>
          <w:bCs/>
          <w:color w:val="000000"/>
        </w:rPr>
      </w:pPr>
      <w:r w:rsidRPr="001D1EFC">
        <w:rPr>
          <w:rFonts w:cstheme="minorHAnsi"/>
          <w:bCs/>
          <w:color w:val="000000"/>
        </w:rPr>
        <w:t xml:space="preserve">Individuals owning, directly or indirectly, an interest in the voting power of the    reporting enterprise that gives them control or significant influence over the enterprise, and relatives of any such individual; </w:t>
      </w:r>
    </w:p>
    <w:p w:rsidR="008528CA" w:rsidRPr="001D1EFC" w:rsidRDefault="008528CA" w:rsidP="009B55C2">
      <w:pPr>
        <w:pStyle w:val="ListParagraph"/>
        <w:numPr>
          <w:ilvl w:val="0"/>
          <w:numId w:val="13"/>
        </w:numPr>
        <w:autoSpaceDE w:val="0"/>
        <w:autoSpaceDN w:val="0"/>
        <w:adjustRightInd w:val="0"/>
        <w:spacing w:after="0"/>
        <w:jc w:val="both"/>
        <w:rPr>
          <w:rFonts w:cstheme="minorHAnsi"/>
          <w:bCs/>
          <w:color w:val="000000"/>
        </w:rPr>
      </w:pPr>
      <w:r w:rsidRPr="001D1EFC">
        <w:rPr>
          <w:rFonts w:cstheme="minorHAnsi"/>
          <w:bCs/>
          <w:color w:val="000000"/>
        </w:rPr>
        <w:t>Key management personnel and relatives of such personnel;</w:t>
      </w:r>
    </w:p>
    <w:p w:rsidR="009B55C2" w:rsidRPr="001D1EFC" w:rsidRDefault="008528CA" w:rsidP="009B55C2">
      <w:pPr>
        <w:pStyle w:val="ListParagraph"/>
        <w:numPr>
          <w:ilvl w:val="0"/>
          <w:numId w:val="13"/>
        </w:numPr>
        <w:autoSpaceDE w:val="0"/>
        <w:autoSpaceDN w:val="0"/>
        <w:adjustRightInd w:val="0"/>
        <w:spacing w:after="0"/>
        <w:jc w:val="both"/>
        <w:rPr>
          <w:rFonts w:cstheme="minorHAnsi"/>
          <w:bCs/>
          <w:color w:val="000000"/>
        </w:rPr>
      </w:pPr>
      <w:r w:rsidRPr="001D1EFC">
        <w:rPr>
          <w:rFonts w:cstheme="minorHAnsi"/>
          <w:bCs/>
          <w:color w:val="000000"/>
        </w:rPr>
        <w:t xml:space="preserve">Enterprises over which any person described in (c) or (d) is able to exercise significant influence. This includes enterprises owned by directors or major shareholders of the reporting enterprise and enterprises that have a member of key management in common with the reporting enterprise. </w:t>
      </w:r>
    </w:p>
    <w:p w:rsidR="008528CA" w:rsidRPr="001D1EFC" w:rsidRDefault="008528CA" w:rsidP="009B55C2">
      <w:pPr>
        <w:pStyle w:val="ListParagraph"/>
        <w:autoSpaceDE w:val="0"/>
        <w:autoSpaceDN w:val="0"/>
        <w:adjustRightInd w:val="0"/>
        <w:spacing w:after="0"/>
        <w:jc w:val="both"/>
        <w:rPr>
          <w:rFonts w:cstheme="minorHAnsi"/>
          <w:bCs/>
          <w:color w:val="000000"/>
        </w:rPr>
      </w:pPr>
      <w:r w:rsidRPr="001D1EFC">
        <w:rPr>
          <w:rFonts w:cstheme="minorHAnsi"/>
          <w:bCs/>
          <w:color w:val="000000"/>
        </w:rPr>
        <w:tab/>
      </w:r>
    </w:p>
    <w:p w:rsidR="008528CA" w:rsidRPr="001D1EFC" w:rsidRDefault="00EB7DFC" w:rsidP="009B55C2">
      <w:pPr>
        <w:autoSpaceDE w:val="0"/>
        <w:autoSpaceDN w:val="0"/>
        <w:adjustRightInd w:val="0"/>
        <w:spacing w:after="0" w:line="360" w:lineRule="auto"/>
        <w:ind w:firstLine="360"/>
        <w:jc w:val="both"/>
        <w:rPr>
          <w:rFonts w:cstheme="minorHAnsi"/>
          <w:b/>
          <w:bCs/>
          <w:i/>
          <w:color w:val="000000"/>
          <w:sz w:val="24"/>
          <w:szCs w:val="24"/>
        </w:rPr>
      </w:pPr>
      <w:r>
        <w:rPr>
          <w:rFonts w:cstheme="minorHAnsi"/>
          <w:b/>
          <w:bCs/>
          <w:i/>
          <w:color w:val="000000"/>
          <w:sz w:val="24"/>
          <w:szCs w:val="24"/>
        </w:rPr>
        <w:t xml:space="preserve">iii. </w:t>
      </w:r>
      <w:r w:rsidR="00643828" w:rsidRPr="001D1EFC">
        <w:rPr>
          <w:rFonts w:cstheme="minorHAnsi"/>
          <w:b/>
          <w:bCs/>
          <w:i/>
          <w:color w:val="000000"/>
          <w:sz w:val="24"/>
          <w:szCs w:val="24"/>
        </w:rPr>
        <w:t>Section 2(76) of t</w:t>
      </w:r>
      <w:r w:rsidR="008528CA" w:rsidRPr="001D1EFC">
        <w:rPr>
          <w:rFonts w:cstheme="minorHAnsi"/>
          <w:b/>
          <w:bCs/>
          <w:i/>
          <w:color w:val="000000"/>
          <w:sz w:val="24"/>
          <w:szCs w:val="24"/>
        </w:rPr>
        <w:t>he Companies Act, 2013:</w:t>
      </w:r>
    </w:p>
    <w:p w:rsidR="008528CA" w:rsidRPr="001D1EFC" w:rsidRDefault="008528CA" w:rsidP="009B55C2">
      <w:pPr>
        <w:numPr>
          <w:ilvl w:val="0"/>
          <w:numId w:val="4"/>
        </w:numPr>
        <w:tabs>
          <w:tab w:val="num" w:pos="561"/>
        </w:tabs>
        <w:autoSpaceDE w:val="0"/>
        <w:autoSpaceDN w:val="0"/>
        <w:adjustRightInd w:val="0"/>
        <w:spacing w:after="0"/>
        <w:jc w:val="both"/>
        <w:rPr>
          <w:rFonts w:cstheme="minorHAnsi"/>
          <w:bCs/>
          <w:color w:val="000000"/>
        </w:rPr>
      </w:pPr>
      <w:r w:rsidRPr="009B55C2">
        <w:rPr>
          <w:rFonts w:cstheme="minorHAnsi"/>
          <w:bCs/>
          <w:color w:val="000000"/>
          <w:sz w:val="24"/>
          <w:szCs w:val="24"/>
        </w:rPr>
        <w:t xml:space="preserve">   </w:t>
      </w:r>
      <w:r w:rsidRPr="001D1EFC">
        <w:rPr>
          <w:rFonts w:cstheme="minorHAnsi"/>
          <w:bCs/>
          <w:color w:val="000000"/>
        </w:rPr>
        <w:t xml:space="preserve">A director or his relative </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 xml:space="preserve">Key Managerial Personnel or his/ her relative </w:t>
      </w:r>
      <w:r w:rsidRPr="001D1EFC">
        <w:rPr>
          <w:rFonts w:cstheme="minorHAnsi"/>
          <w:bCs/>
          <w:color w:val="000000"/>
        </w:rPr>
        <w:tab/>
      </w:r>
      <w:r w:rsidRPr="001D1EFC">
        <w:rPr>
          <w:rFonts w:cstheme="minorHAnsi"/>
          <w:bCs/>
          <w:color w:val="000000"/>
        </w:rPr>
        <w:tab/>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 xml:space="preserve">A firm, in which a director, manager or his relative is a partner </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 xml:space="preserve">A private company in which a director or manager or his relatives is a member or director </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 xml:space="preserve">A public company in which a director or manager is a director and holds along with his relatives, more than 2% of its paid-up share capital </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A body corporate whose board, managing director or manager is accustomed to act in accordance with the advice, directions or instructions of a director or manager, except such advice is given in a professional capacity</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lastRenderedPageBreak/>
        <w:t>Any person on whose advice, directions or instructions a director or manager is accustomed to act, except such advice is given in a professional capacity</w:t>
      </w:r>
    </w:p>
    <w:p w:rsidR="008528CA" w:rsidRPr="001D1EFC" w:rsidRDefault="008528CA" w:rsidP="009B55C2">
      <w:pPr>
        <w:numPr>
          <w:ilvl w:val="0"/>
          <w:numId w:val="4"/>
        </w:numPr>
        <w:autoSpaceDE w:val="0"/>
        <w:autoSpaceDN w:val="0"/>
        <w:adjustRightInd w:val="0"/>
        <w:spacing w:after="0"/>
        <w:jc w:val="both"/>
        <w:rPr>
          <w:rFonts w:cstheme="minorHAnsi"/>
          <w:bCs/>
          <w:color w:val="000000"/>
        </w:rPr>
      </w:pPr>
      <w:r w:rsidRPr="001D1EFC">
        <w:rPr>
          <w:rFonts w:cstheme="minorHAnsi"/>
          <w:bCs/>
          <w:color w:val="000000"/>
        </w:rPr>
        <w:t>Any company which is:</w:t>
      </w:r>
    </w:p>
    <w:p w:rsidR="008528CA" w:rsidRPr="001D1EFC" w:rsidRDefault="008528CA" w:rsidP="009B55C2">
      <w:pPr>
        <w:autoSpaceDE w:val="0"/>
        <w:autoSpaceDN w:val="0"/>
        <w:adjustRightInd w:val="0"/>
        <w:spacing w:after="0"/>
        <w:jc w:val="both"/>
        <w:rPr>
          <w:rFonts w:cstheme="minorHAnsi"/>
          <w:bCs/>
          <w:color w:val="000000"/>
        </w:rPr>
      </w:pPr>
      <w:r w:rsidRPr="001D1EFC">
        <w:rPr>
          <w:rFonts w:cstheme="minorHAnsi"/>
          <w:bCs/>
          <w:color w:val="000000"/>
        </w:rPr>
        <w:t xml:space="preserve">         -  A Holding, Subsidiary or an Associate company of such company or</w:t>
      </w:r>
    </w:p>
    <w:p w:rsidR="008528CA" w:rsidRPr="001D1EFC" w:rsidRDefault="008528CA" w:rsidP="009B55C2">
      <w:pPr>
        <w:autoSpaceDE w:val="0"/>
        <w:autoSpaceDN w:val="0"/>
        <w:adjustRightInd w:val="0"/>
        <w:spacing w:after="0"/>
        <w:jc w:val="both"/>
        <w:rPr>
          <w:rFonts w:cstheme="minorHAnsi"/>
          <w:bCs/>
          <w:color w:val="000000"/>
        </w:rPr>
      </w:pPr>
      <w:r w:rsidRPr="001D1EFC">
        <w:rPr>
          <w:rFonts w:cstheme="minorHAnsi"/>
          <w:bCs/>
          <w:color w:val="000000"/>
        </w:rPr>
        <w:t xml:space="preserve">         -  A Subsidiary of a Holding company to which it is also a Subsidiary</w:t>
      </w:r>
    </w:p>
    <w:p w:rsidR="008528CA" w:rsidRPr="001D1EFC" w:rsidRDefault="008528CA" w:rsidP="009B55C2">
      <w:pPr>
        <w:pStyle w:val="ListParagraph"/>
        <w:numPr>
          <w:ilvl w:val="0"/>
          <w:numId w:val="4"/>
        </w:numPr>
        <w:autoSpaceDE w:val="0"/>
        <w:autoSpaceDN w:val="0"/>
        <w:adjustRightInd w:val="0"/>
        <w:spacing w:after="0"/>
        <w:jc w:val="both"/>
        <w:rPr>
          <w:rFonts w:cstheme="minorHAnsi"/>
          <w:bCs/>
          <w:color w:val="000000"/>
        </w:rPr>
      </w:pPr>
      <w:r w:rsidRPr="001D1EFC">
        <w:rPr>
          <w:rFonts w:cstheme="minorHAnsi"/>
          <w:bCs/>
          <w:color w:val="000000"/>
        </w:rPr>
        <w:t>A Director, or Key Managerial Personnel of the holding company or his relative with reference to a company, shall be deemed to be a Related Party.</w:t>
      </w:r>
    </w:p>
    <w:p w:rsidR="005F0496" w:rsidRPr="009B55C2" w:rsidRDefault="005F0496" w:rsidP="009B55C2">
      <w:pPr>
        <w:pStyle w:val="ListParagraph"/>
        <w:autoSpaceDE w:val="0"/>
        <w:autoSpaceDN w:val="0"/>
        <w:adjustRightInd w:val="0"/>
        <w:spacing w:after="0"/>
        <w:jc w:val="both"/>
        <w:rPr>
          <w:rFonts w:cstheme="minorHAnsi"/>
          <w:b/>
          <w:bCs/>
          <w:color w:val="000000"/>
          <w:sz w:val="24"/>
          <w:szCs w:val="24"/>
          <w:u w:val="single"/>
        </w:rPr>
      </w:pPr>
    </w:p>
    <w:p w:rsidR="00643828" w:rsidRPr="00EB7DFC" w:rsidRDefault="00643828" w:rsidP="00EB7DFC">
      <w:pPr>
        <w:pStyle w:val="ListParagraph"/>
        <w:numPr>
          <w:ilvl w:val="0"/>
          <w:numId w:val="32"/>
        </w:numPr>
        <w:autoSpaceDE w:val="0"/>
        <w:autoSpaceDN w:val="0"/>
        <w:adjustRightInd w:val="0"/>
        <w:spacing w:after="0" w:line="360" w:lineRule="auto"/>
        <w:jc w:val="both"/>
        <w:rPr>
          <w:rFonts w:cstheme="minorHAnsi"/>
          <w:b/>
          <w:bCs/>
          <w:i/>
          <w:color w:val="000000"/>
          <w:sz w:val="26"/>
          <w:szCs w:val="26"/>
          <w:u w:val="single"/>
        </w:rPr>
      </w:pPr>
      <w:r w:rsidRPr="00EB7DFC">
        <w:rPr>
          <w:rFonts w:cstheme="minorHAnsi"/>
          <w:b/>
          <w:bCs/>
          <w:i/>
          <w:color w:val="000000"/>
          <w:sz w:val="26"/>
          <w:szCs w:val="26"/>
          <w:u w:val="single"/>
        </w:rPr>
        <w:t>Relatives:</w:t>
      </w:r>
    </w:p>
    <w:p w:rsidR="00643828" w:rsidRPr="001D1EFC" w:rsidRDefault="00AB460A" w:rsidP="009B55C2">
      <w:pPr>
        <w:pStyle w:val="ListParagraph"/>
        <w:autoSpaceDE w:val="0"/>
        <w:autoSpaceDN w:val="0"/>
        <w:adjustRightInd w:val="0"/>
        <w:spacing w:after="0"/>
        <w:jc w:val="both"/>
        <w:rPr>
          <w:rFonts w:cstheme="minorHAnsi"/>
          <w:bCs/>
          <w:color w:val="000000"/>
        </w:rPr>
      </w:pPr>
      <w:r w:rsidRPr="001D1EFC">
        <w:rPr>
          <w:rFonts w:cstheme="minorHAnsi"/>
          <w:bCs/>
          <w:color w:val="000000"/>
        </w:rPr>
        <w:t>Section 2(77</w:t>
      </w:r>
      <w:r w:rsidR="00643828" w:rsidRPr="001D1EFC">
        <w:rPr>
          <w:rFonts w:cstheme="minorHAnsi"/>
          <w:bCs/>
          <w:color w:val="000000"/>
        </w:rPr>
        <w:t>) of the Companies Act, 2013:</w:t>
      </w:r>
    </w:p>
    <w:p w:rsidR="00E17BC3" w:rsidRPr="001D1EFC" w:rsidRDefault="00E17BC3" w:rsidP="009B55C2">
      <w:pPr>
        <w:pStyle w:val="ListParagraph"/>
        <w:spacing w:after="0"/>
        <w:jc w:val="both"/>
        <w:rPr>
          <w:rFonts w:cstheme="minorHAnsi"/>
          <w:bCs/>
          <w:color w:val="000000"/>
        </w:rPr>
      </w:pPr>
      <w:r w:rsidRPr="001D1EFC">
        <w:rPr>
          <w:rFonts w:cstheme="minorHAnsi"/>
          <w:bCs/>
          <w:color w:val="000000"/>
        </w:rPr>
        <w:t>With reference to any person Related Party means any one person, who is related to another, if:</w:t>
      </w:r>
    </w:p>
    <w:p w:rsidR="00E17BC3" w:rsidRPr="001D1EFC" w:rsidRDefault="00E17BC3" w:rsidP="009B55C2">
      <w:pPr>
        <w:pStyle w:val="ListParagraph"/>
        <w:numPr>
          <w:ilvl w:val="0"/>
          <w:numId w:val="5"/>
        </w:numPr>
        <w:spacing w:after="0"/>
        <w:ind w:left="1080"/>
        <w:jc w:val="both"/>
        <w:rPr>
          <w:rFonts w:cstheme="minorHAnsi"/>
          <w:bCs/>
          <w:color w:val="000000"/>
        </w:rPr>
      </w:pPr>
      <w:r w:rsidRPr="001D1EFC">
        <w:rPr>
          <w:rFonts w:cstheme="minorHAnsi"/>
          <w:bCs/>
          <w:color w:val="000000"/>
        </w:rPr>
        <w:t>they are members of a Hindu Undivided Family;</w:t>
      </w:r>
    </w:p>
    <w:p w:rsidR="00E17BC3" w:rsidRPr="001D1EFC" w:rsidRDefault="00E17BC3" w:rsidP="009B55C2">
      <w:pPr>
        <w:pStyle w:val="ListParagraph"/>
        <w:numPr>
          <w:ilvl w:val="0"/>
          <w:numId w:val="5"/>
        </w:numPr>
        <w:spacing w:after="0"/>
        <w:ind w:left="1080"/>
        <w:jc w:val="both"/>
        <w:rPr>
          <w:rFonts w:cstheme="minorHAnsi"/>
          <w:bCs/>
          <w:color w:val="000000"/>
        </w:rPr>
      </w:pPr>
      <w:r w:rsidRPr="001D1EFC">
        <w:rPr>
          <w:rFonts w:cstheme="minorHAnsi"/>
          <w:bCs/>
          <w:color w:val="000000"/>
        </w:rPr>
        <w:t>they are husband and wife, or</w:t>
      </w:r>
    </w:p>
    <w:p w:rsidR="00E17BC3" w:rsidRPr="001D1EFC" w:rsidRDefault="00E17BC3" w:rsidP="009B55C2">
      <w:pPr>
        <w:pStyle w:val="ListParagraph"/>
        <w:numPr>
          <w:ilvl w:val="0"/>
          <w:numId w:val="5"/>
        </w:numPr>
        <w:spacing w:after="0"/>
        <w:ind w:left="1080"/>
        <w:jc w:val="both"/>
        <w:rPr>
          <w:rFonts w:cstheme="minorHAnsi"/>
          <w:bCs/>
          <w:color w:val="000000"/>
        </w:rPr>
      </w:pPr>
      <w:r w:rsidRPr="001D1EFC">
        <w:rPr>
          <w:rFonts w:cstheme="minorHAnsi"/>
          <w:bCs/>
          <w:color w:val="000000"/>
        </w:rPr>
        <w:t>One person is related to the other if he or she is related to another as under:</w:t>
      </w:r>
    </w:p>
    <w:p w:rsidR="00E17BC3" w:rsidRPr="001D1EFC" w:rsidRDefault="00E17BC3" w:rsidP="009B55C2">
      <w:pPr>
        <w:pStyle w:val="ListParagraph"/>
        <w:spacing w:after="0"/>
        <w:ind w:left="1080"/>
        <w:jc w:val="both"/>
        <w:rPr>
          <w:rFonts w:cstheme="minorHAnsi"/>
          <w:bCs/>
          <w:color w:val="000000"/>
        </w:rPr>
      </w:pPr>
      <w:r w:rsidRPr="001D1EFC">
        <w:rPr>
          <w:rFonts w:cstheme="minorHAnsi"/>
          <w:bCs/>
          <w:color w:val="000000"/>
        </w:rPr>
        <w:t>Father*, Mother*, Son*, Son’s wife</w:t>
      </w:r>
      <w:r w:rsidR="00E45807" w:rsidRPr="001D1EFC">
        <w:rPr>
          <w:rFonts w:cstheme="minorHAnsi"/>
          <w:bCs/>
          <w:color w:val="000000"/>
        </w:rPr>
        <w:t>, Daughter, Daughter’s Husband, Brother</w:t>
      </w:r>
      <w:r w:rsidRPr="001D1EFC">
        <w:rPr>
          <w:rFonts w:cstheme="minorHAnsi"/>
          <w:bCs/>
          <w:color w:val="000000"/>
        </w:rPr>
        <w:t>* and Sister* (*including step)</w:t>
      </w:r>
    </w:p>
    <w:p w:rsidR="00E17BC3" w:rsidRPr="00EB7DFC" w:rsidRDefault="00E17BC3" w:rsidP="00EB7DFC">
      <w:pPr>
        <w:pStyle w:val="ListParagraph"/>
        <w:numPr>
          <w:ilvl w:val="0"/>
          <w:numId w:val="32"/>
        </w:numPr>
        <w:spacing w:after="0" w:line="360" w:lineRule="auto"/>
        <w:jc w:val="both"/>
        <w:rPr>
          <w:rFonts w:cstheme="minorHAnsi"/>
          <w:b/>
          <w:bCs/>
          <w:i/>
          <w:color w:val="000000"/>
          <w:sz w:val="26"/>
          <w:szCs w:val="26"/>
          <w:u w:val="single"/>
        </w:rPr>
      </w:pPr>
      <w:r w:rsidRPr="00EB7DFC">
        <w:rPr>
          <w:rFonts w:cstheme="minorHAnsi"/>
          <w:b/>
          <w:bCs/>
          <w:i/>
          <w:color w:val="000000"/>
          <w:sz w:val="26"/>
          <w:szCs w:val="26"/>
          <w:u w:val="single"/>
        </w:rPr>
        <w:t>Related Party Transaction:</w:t>
      </w:r>
    </w:p>
    <w:p w:rsidR="00E17BC3" w:rsidRPr="00E8776E" w:rsidRDefault="0051364E" w:rsidP="009B55C2">
      <w:pPr>
        <w:pStyle w:val="ListParagraph"/>
        <w:jc w:val="both"/>
        <w:rPr>
          <w:rFonts w:cstheme="minorHAnsi"/>
          <w:b/>
          <w:bCs/>
          <w:i/>
          <w:sz w:val="26"/>
          <w:szCs w:val="26"/>
        </w:rPr>
      </w:pPr>
      <w:proofErr w:type="spellStart"/>
      <w:proofErr w:type="gramStart"/>
      <w:r>
        <w:rPr>
          <w:rFonts w:cstheme="minorHAnsi"/>
          <w:b/>
          <w:bCs/>
          <w:i/>
          <w:sz w:val="26"/>
          <w:szCs w:val="26"/>
        </w:rPr>
        <w:t>i</w:t>
      </w:r>
      <w:proofErr w:type="spellEnd"/>
      <w:proofErr w:type="gramEnd"/>
      <w:r>
        <w:rPr>
          <w:rFonts w:cstheme="minorHAnsi"/>
          <w:b/>
          <w:bCs/>
          <w:i/>
          <w:sz w:val="26"/>
          <w:szCs w:val="26"/>
        </w:rPr>
        <w:t xml:space="preserve">. </w:t>
      </w:r>
      <w:r w:rsidR="00C861E8" w:rsidRPr="00C861E8">
        <w:rPr>
          <w:rFonts w:cstheme="minorHAnsi"/>
          <w:b/>
          <w:bCs/>
          <w:i/>
          <w:sz w:val="26"/>
          <w:szCs w:val="26"/>
        </w:rPr>
        <w:t xml:space="preserve">Under </w:t>
      </w:r>
      <w:r w:rsidR="00C861E8" w:rsidRPr="00C861E8">
        <w:rPr>
          <w:rFonts w:cstheme="minorHAnsi"/>
          <w:b/>
          <w:bCs/>
          <w:i/>
          <w:sz w:val="26"/>
          <w:szCs w:val="26"/>
          <w:lang w:val="en-IN"/>
        </w:rPr>
        <w:t>Regulation 23(1) of the SEBI (Listing Obligation and Disclosure Requirements) Regulations 2015</w:t>
      </w:r>
      <w:r w:rsidR="00E8776E">
        <w:rPr>
          <w:rFonts w:cstheme="minorHAnsi"/>
          <w:b/>
          <w:bCs/>
          <w:i/>
          <w:sz w:val="26"/>
          <w:szCs w:val="26"/>
        </w:rPr>
        <w:t xml:space="preserve"> with Stock Exchanges </w:t>
      </w:r>
    </w:p>
    <w:p w:rsidR="00E17BC3" w:rsidRPr="009B55C2" w:rsidRDefault="00E17BC3" w:rsidP="009B55C2">
      <w:pPr>
        <w:pStyle w:val="ListParagraph"/>
        <w:jc w:val="both"/>
        <w:rPr>
          <w:rFonts w:cstheme="minorHAnsi"/>
          <w:b/>
          <w:bCs/>
          <w:sz w:val="24"/>
          <w:szCs w:val="24"/>
          <w:u w:val="single"/>
        </w:rPr>
      </w:pPr>
    </w:p>
    <w:p w:rsidR="00E17BC3" w:rsidRPr="001D1EFC" w:rsidRDefault="00E17BC3" w:rsidP="000777F7">
      <w:pPr>
        <w:pStyle w:val="ListParagraph"/>
        <w:autoSpaceDE w:val="0"/>
        <w:autoSpaceDN w:val="0"/>
        <w:adjustRightInd w:val="0"/>
        <w:spacing w:after="0" w:line="240" w:lineRule="auto"/>
        <w:contextualSpacing w:val="0"/>
        <w:jc w:val="both"/>
        <w:rPr>
          <w:rFonts w:cstheme="minorHAnsi"/>
        </w:rPr>
      </w:pPr>
      <w:r w:rsidRPr="001D1EFC">
        <w:rPr>
          <w:rFonts w:cstheme="minorHAnsi"/>
        </w:rPr>
        <w:t>A related party transaction is a transfer of resources, services or obligations between a company and a Related Party, regardless of whether a price is charged. A "transaction" with a related party shall be construed to include single transaction or a group of transactions in a contract.</w:t>
      </w:r>
    </w:p>
    <w:p w:rsidR="005F0496" w:rsidRPr="009B55C2" w:rsidRDefault="005F0496" w:rsidP="009B55C2">
      <w:pPr>
        <w:pStyle w:val="ListParagraph"/>
        <w:spacing w:after="0" w:line="360" w:lineRule="auto"/>
        <w:jc w:val="both"/>
        <w:rPr>
          <w:rFonts w:cstheme="minorHAnsi"/>
          <w:b/>
          <w:bCs/>
          <w:color w:val="000000"/>
          <w:sz w:val="24"/>
          <w:szCs w:val="24"/>
          <w:u w:val="single"/>
        </w:rPr>
      </w:pPr>
    </w:p>
    <w:p w:rsidR="00E17BC3" w:rsidRPr="0051364E" w:rsidRDefault="0051364E" w:rsidP="009B55C2">
      <w:pPr>
        <w:pStyle w:val="ListParagraph"/>
        <w:spacing w:after="0" w:line="360" w:lineRule="auto"/>
        <w:jc w:val="both"/>
        <w:rPr>
          <w:rFonts w:cstheme="minorHAnsi"/>
          <w:b/>
          <w:bCs/>
          <w:i/>
          <w:color w:val="000000"/>
          <w:sz w:val="26"/>
          <w:szCs w:val="26"/>
        </w:rPr>
      </w:pPr>
      <w:proofErr w:type="gramStart"/>
      <w:r>
        <w:rPr>
          <w:rFonts w:cstheme="minorHAnsi"/>
          <w:b/>
          <w:bCs/>
          <w:i/>
          <w:color w:val="000000"/>
          <w:sz w:val="26"/>
          <w:szCs w:val="26"/>
        </w:rPr>
        <w:t>ii</w:t>
      </w:r>
      <w:proofErr w:type="gramEnd"/>
      <w:r>
        <w:rPr>
          <w:rFonts w:cstheme="minorHAnsi"/>
          <w:b/>
          <w:bCs/>
          <w:i/>
          <w:color w:val="000000"/>
          <w:sz w:val="26"/>
          <w:szCs w:val="26"/>
        </w:rPr>
        <w:t xml:space="preserve">. </w:t>
      </w:r>
      <w:r w:rsidR="00E17BC3" w:rsidRPr="0051364E">
        <w:rPr>
          <w:rFonts w:cstheme="minorHAnsi"/>
          <w:b/>
          <w:bCs/>
          <w:i/>
          <w:color w:val="000000"/>
          <w:sz w:val="26"/>
          <w:szCs w:val="26"/>
        </w:rPr>
        <w:t>Under Section 188 of the Act</w:t>
      </w:r>
      <w:r w:rsidR="00EB7DFC" w:rsidRPr="0051364E">
        <w:rPr>
          <w:rFonts w:cstheme="minorHAnsi"/>
          <w:b/>
          <w:bCs/>
          <w:i/>
          <w:color w:val="000000"/>
          <w:sz w:val="26"/>
          <w:szCs w:val="26"/>
        </w:rPr>
        <w:t>:</w:t>
      </w:r>
    </w:p>
    <w:p w:rsidR="00E17BC3" w:rsidRPr="001D1EFC" w:rsidRDefault="00E17BC3" w:rsidP="009B55C2">
      <w:pPr>
        <w:pStyle w:val="ListParagraph"/>
        <w:spacing w:after="0"/>
        <w:jc w:val="both"/>
        <w:rPr>
          <w:rFonts w:cstheme="minorHAnsi"/>
          <w:bCs/>
          <w:color w:val="000000"/>
        </w:rPr>
      </w:pPr>
      <w:r w:rsidRPr="001D1EFC">
        <w:rPr>
          <w:rFonts w:cstheme="minorHAnsi"/>
          <w:bCs/>
          <w:color w:val="000000"/>
        </w:rPr>
        <w:t>Any contract or arrangement with respect to the following shall be considered as a Related Party Transaction:</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 xml:space="preserve">sale, purchase or supply of any goods or materials; </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selling or otherwise disposing of, or buying, property of any kind;</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leasing of property of any kind;</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availing or rendering of any services;</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appointment of any agent for purchase or sale of goods, materials, services or property;</w:t>
      </w:r>
    </w:p>
    <w:p w:rsidR="00E17BC3" w:rsidRPr="001D1EFC" w:rsidRDefault="00E17BC3" w:rsidP="009B55C2">
      <w:pPr>
        <w:pStyle w:val="ListParagraph"/>
        <w:numPr>
          <w:ilvl w:val="0"/>
          <w:numId w:val="18"/>
        </w:numPr>
        <w:spacing w:after="0"/>
        <w:jc w:val="both"/>
        <w:rPr>
          <w:rFonts w:cstheme="minorHAnsi"/>
          <w:bCs/>
          <w:color w:val="000000"/>
        </w:rPr>
      </w:pPr>
      <w:r w:rsidRPr="001D1EFC">
        <w:rPr>
          <w:rFonts w:cstheme="minorHAnsi"/>
          <w:bCs/>
          <w:color w:val="000000"/>
        </w:rPr>
        <w:t>appointment of a person to any office or place of profit in the company, its subsidiary company or associate company;</w:t>
      </w:r>
    </w:p>
    <w:p w:rsidR="00E17BC3" w:rsidRPr="001D1EFC" w:rsidRDefault="00E17BC3" w:rsidP="009B55C2">
      <w:pPr>
        <w:pStyle w:val="ListParagraph"/>
        <w:numPr>
          <w:ilvl w:val="0"/>
          <w:numId w:val="18"/>
        </w:numPr>
        <w:spacing w:after="0"/>
        <w:jc w:val="both"/>
        <w:rPr>
          <w:rFonts w:cstheme="minorHAnsi"/>
          <w:b/>
          <w:bCs/>
          <w:u w:val="single"/>
        </w:rPr>
      </w:pPr>
      <w:r w:rsidRPr="001D1EFC">
        <w:rPr>
          <w:rFonts w:cstheme="minorHAnsi"/>
          <w:bCs/>
          <w:color w:val="000000"/>
        </w:rPr>
        <w:t>under writing the subscription of any securities or derivatives thereof of the Company</w:t>
      </w:r>
    </w:p>
    <w:p w:rsidR="009B55C2" w:rsidRPr="009B55C2" w:rsidRDefault="009B55C2" w:rsidP="009B55C2">
      <w:pPr>
        <w:pStyle w:val="ListParagraph"/>
        <w:spacing w:after="0"/>
        <w:ind w:left="1080"/>
        <w:jc w:val="both"/>
        <w:rPr>
          <w:rFonts w:cstheme="minorHAnsi"/>
          <w:b/>
          <w:bCs/>
          <w:sz w:val="24"/>
          <w:szCs w:val="24"/>
          <w:u w:val="single"/>
        </w:rPr>
      </w:pPr>
    </w:p>
    <w:p w:rsidR="00E17BC3" w:rsidRPr="00545FF9" w:rsidRDefault="00E17BC3" w:rsidP="00EB7DFC">
      <w:pPr>
        <w:pStyle w:val="ListParagraph"/>
        <w:numPr>
          <w:ilvl w:val="0"/>
          <w:numId w:val="32"/>
        </w:numPr>
        <w:jc w:val="both"/>
        <w:rPr>
          <w:rFonts w:cstheme="minorHAnsi"/>
          <w:b/>
          <w:bCs/>
          <w:i/>
          <w:sz w:val="26"/>
          <w:szCs w:val="26"/>
          <w:u w:val="single"/>
        </w:rPr>
      </w:pPr>
      <w:r w:rsidRPr="00545FF9">
        <w:rPr>
          <w:rFonts w:cstheme="minorHAnsi"/>
          <w:b/>
          <w:bCs/>
          <w:i/>
          <w:sz w:val="26"/>
          <w:szCs w:val="26"/>
          <w:u w:val="single"/>
        </w:rPr>
        <w:t>Arms’ length transaction:</w:t>
      </w:r>
    </w:p>
    <w:p w:rsidR="00B448A4" w:rsidRPr="001D1EFC" w:rsidRDefault="00B448A4" w:rsidP="009B55C2">
      <w:pPr>
        <w:widowControl w:val="0"/>
        <w:overflowPunct w:val="0"/>
        <w:autoSpaceDE w:val="0"/>
        <w:autoSpaceDN w:val="0"/>
        <w:adjustRightInd w:val="0"/>
        <w:ind w:firstLine="720"/>
        <w:jc w:val="both"/>
        <w:rPr>
          <w:rFonts w:cstheme="minorHAnsi"/>
          <w:bCs/>
        </w:rPr>
      </w:pPr>
      <w:r w:rsidRPr="001D1EFC">
        <w:rPr>
          <w:rFonts w:cstheme="minorHAnsi"/>
          <w:bCs/>
        </w:rPr>
        <w:t xml:space="preserve">Section 188 (1) </w:t>
      </w:r>
      <w:r w:rsidRPr="001D1EFC">
        <w:rPr>
          <w:rFonts w:cstheme="minorHAnsi"/>
          <w:bCs/>
          <w:i/>
          <w:iCs/>
        </w:rPr>
        <w:t>(Explanation)</w:t>
      </w:r>
      <w:r w:rsidRPr="001D1EFC">
        <w:rPr>
          <w:rFonts w:cstheme="minorHAnsi"/>
          <w:bCs/>
        </w:rPr>
        <w:t>:</w:t>
      </w:r>
    </w:p>
    <w:p w:rsidR="00E17BC3" w:rsidRPr="001D1EFC" w:rsidRDefault="00B448A4" w:rsidP="009B55C2">
      <w:pPr>
        <w:pStyle w:val="ListParagraph"/>
        <w:jc w:val="both"/>
        <w:rPr>
          <w:rFonts w:cstheme="minorHAnsi"/>
        </w:rPr>
      </w:pPr>
      <w:r w:rsidRPr="001D1EFC">
        <w:rPr>
          <w:rFonts w:cstheme="minorHAnsi"/>
          <w:w w:val="98"/>
        </w:rPr>
        <w:lastRenderedPageBreak/>
        <w:t>The expression “arm’s length transaction” means a transaction between two Related Parties that</w:t>
      </w:r>
      <w:r w:rsidRPr="001D1EFC">
        <w:rPr>
          <w:rFonts w:cstheme="minorHAnsi"/>
        </w:rPr>
        <w:t xml:space="preserve"> is conducted as if they were unrelated, so that there is no conflict of interest.</w:t>
      </w:r>
    </w:p>
    <w:p w:rsidR="005F0496" w:rsidRPr="009B55C2" w:rsidRDefault="005F0496" w:rsidP="009B55C2">
      <w:pPr>
        <w:pStyle w:val="ListParagraph"/>
        <w:jc w:val="both"/>
        <w:rPr>
          <w:rFonts w:cstheme="minorHAnsi"/>
          <w:sz w:val="24"/>
          <w:szCs w:val="24"/>
        </w:rPr>
      </w:pPr>
    </w:p>
    <w:p w:rsidR="005F0496" w:rsidRPr="00545FF9" w:rsidRDefault="005F0496" w:rsidP="00EB7DFC">
      <w:pPr>
        <w:pStyle w:val="ListParagraph"/>
        <w:numPr>
          <w:ilvl w:val="0"/>
          <w:numId w:val="32"/>
        </w:numPr>
        <w:jc w:val="both"/>
        <w:rPr>
          <w:rFonts w:cstheme="minorHAnsi"/>
          <w:b/>
          <w:bCs/>
          <w:i/>
          <w:sz w:val="26"/>
          <w:szCs w:val="26"/>
          <w:u w:val="single"/>
        </w:rPr>
      </w:pPr>
      <w:r w:rsidRPr="00545FF9">
        <w:rPr>
          <w:rFonts w:cstheme="minorHAnsi"/>
          <w:b/>
          <w:bCs/>
          <w:i/>
          <w:sz w:val="26"/>
          <w:szCs w:val="26"/>
          <w:u w:val="single"/>
        </w:rPr>
        <w:t>Subsidiary Company</w:t>
      </w:r>
      <w:r w:rsidR="00F965B7">
        <w:rPr>
          <w:rFonts w:cstheme="minorHAnsi"/>
          <w:b/>
          <w:bCs/>
          <w:i/>
          <w:sz w:val="26"/>
          <w:szCs w:val="26"/>
          <w:u w:val="single"/>
        </w:rPr>
        <w:t>:</w:t>
      </w:r>
    </w:p>
    <w:p w:rsidR="005F0496" w:rsidRPr="001D1EFC" w:rsidRDefault="00F965B7" w:rsidP="009B55C2">
      <w:pPr>
        <w:widowControl w:val="0"/>
        <w:tabs>
          <w:tab w:val="num" w:pos="831"/>
        </w:tabs>
        <w:autoSpaceDE w:val="0"/>
        <w:autoSpaceDN w:val="0"/>
        <w:adjustRightInd w:val="0"/>
        <w:ind w:left="360"/>
        <w:jc w:val="both"/>
        <w:rPr>
          <w:rFonts w:cstheme="minorHAnsi"/>
          <w:b/>
          <w:bCs/>
          <w:i/>
          <w:sz w:val="26"/>
          <w:szCs w:val="26"/>
        </w:rPr>
      </w:pPr>
      <w:proofErr w:type="spellStart"/>
      <w:r>
        <w:rPr>
          <w:rFonts w:cstheme="minorHAnsi"/>
          <w:b/>
          <w:bCs/>
          <w:i/>
          <w:sz w:val="26"/>
          <w:szCs w:val="26"/>
        </w:rPr>
        <w:t>i</w:t>
      </w:r>
      <w:proofErr w:type="spellEnd"/>
      <w:r>
        <w:rPr>
          <w:rFonts w:cstheme="minorHAnsi"/>
          <w:b/>
          <w:bCs/>
          <w:i/>
          <w:sz w:val="26"/>
          <w:szCs w:val="26"/>
        </w:rPr>
        <w:t xml:space="preserve">. </w:t>
      </w:r>
      <w:r w:rsidR="005F0496" w:rsidRPr="001D1EFC">
        <w:rPr>
          <w:rFonts w:cstheme="minorHAnsi"/>
          <w:b/>
          <w:bCs/>
          <w:i/>
          <w:sz w:val="26"/>
          <w:szCs w:val="26"/>
        </w:rPr>
        <w:t>Sec 2 (87) of the Act:</w:t>
      </w:r>
    </w:p>
    <w:p w:rsidR="005F0496" w:rsidRPr="001D1EFC" w:rsidRDefault="005F0496" w:rsidP="009B55C2">
      <w:pPr>
        <w:widowControl w:val="0"/>
        <w:tabs>
          <w:tab w:val="num" w:pos="831"/>
        </w:tabs>
        <w:autoSpaceDE w:val="0"/>
        <w:autoSpaceDN w:val="0"/>
        <w:adjustRightInd w:val="0"/>
        <w:ind w:left="360"/>
        <w:jc w:val="both"/>
        <w:rPr>
          <w:rFonts w:cstheme="minorHAnsi"/>
        </w:rPr>
      </w:pPr>
      <w:r w:rsidRPr="001D1EFC">
        <w:rPr>
          <w:rFonts w:cstheme="minorHAnsi"/>
        </w:rPr>
        <w:t>In relation to any other company, that is the Holding company, means a company in which the holding company:</w:t>
      </w:r>
    </w:p>
    <w:p w:rsidR="005F0496" w:rsidRPr="000E7CAD" w:rsidRDefault="000E7CAD" w:rsidP="000E7CAD">
      <w:pPr>
        <w:widowControl w:val="0"/>
        <w:autoSpaceDE w:val="0"/>
        <w:autoSpaceDN w:val="0"/>
        <w:adjustRightInd w:val="0"/>
        <w:ind w:firstLine="360"/>
        <w:jc w:val="both"/>
        <w:rPr>
          <w:rFonts w:cstheme="minorHAnsi"/>
          <w:bCs/>
        </w:rPr>
      </w:pPr>
      <w:proofErr w:type="gramStart"/>
      <w:r w:rsidRPr="000E7CAD">
        <w:rPr>
          <w:rFonts w:cstheme="minorHAnsi"/>
        </w:rPr>
        <w:t>a</w:t>
      </w:r>
      <w:proofErr w:type="gramEnd"/>
      <w:r w:rsidRPr="000E7CAD">
        <w:rPr>
          <w:rFonts w:cstheme="minorHAnsi"/>
        </w:rPr>
        <w:t xml:space="preserve">. </w:t>
      </w:r>
      <w:r w:rsidR="005F0496" w:rsidRPr="000E7CAD">
        <w:rPr>
          <w:rFonts w:cstheme="minorHAnsi"/>
        </w:rPr>
        <w:t>controls the composition of the Board of Directors; or</w:t>
      </w:r>
    </w:p>
    <w:p w:rsidR="005F0496" w:rsidRPr="000E7CAD" w:rsidRDefault="000E7CAD" w:rsidP="000E7CAD">
      <w:pPr>
        <w:widowControl w:val="0"/>
        <w:tabs>
          <w:tab w:val="num" w:pos="1191"/>
        </w:tabs>
        <w:autoSpaceDE w:val="0"/>
        <w:autoSpaceDN w:val="0"/>
        <w:adjustRightInd w:val="0"/>
        <w:ind w:left="360"/>
        <w:jc w:val="both"/>
        <w:rPr>
          <w:rFonts w:cstheme="minorHAnsi"/>
          <w:bCs/>
        </w:rPr>
      </w:pPr>
      <w:proofErr w:type="gramStart"/>
      <w:r>
        <w:rPr>
          <w:rFonts w:cstheme="minorHAnsi"/>
        </w:rPr>
        <w:t xml:space="preserve">b.  </w:t>
      </w:r>
      <w:r w:rsidR="005F0496" w:rsidRPr="000E7CAD">
        <w:rPr>
          <w:rFonts w:cstheme="minorHAnsi"/>
        </w:rPr>
        <w:t>exercises</w:t>
      </w:r>
      <w:proofErr w:type="gramEnd"/>
      <w:r w:rsidR="005F0496" w:rsidRPr="000E7CAD">
        <w:rPr>
          <w:rFonts w:cstheme="minorHAnsi"/>
        </w:rPr>
        <w:t xml:space="preserve"> or controls more than one-half of the Total Share Capital</w:t>
      </w:r>
    </w:p>
    <w:p w:rsidR="005F0496" w:rsidRPr="001D1EFC" w:rsidRDefault="005F0496" w:rsidP="009B55C2">
      <w:pPr>
        <w:pStyle w:val="ListParagraph"/>
        <w:widowControl w:val="0"/>
        <w:numPr>
          <w:ilvl w:val="0"/>
          <w:numId w:val="7"/>
        </w:numPr>
        <w:tabs>
          <w:tab w:val="num" w:pos="1191"/>
        </w:tabs>
        <w:autoSpaceDE w:val="0"/>
        <w:autoSpaceDN w:val="0"/>
        <w:adjustRightInd w:val="0"/>
        <w:ind w:left="1080"/>
        <w:jc w:val="both"/>
        <w:rPr>
          <w:rFonts w:cstheme="minorHAnsi"/>
          <w:bCs/>
        </w:rPr>
      </w:pPr>
      <w:r w:rsidRPr="001D1EFC">
        <w:rPr>
          <w:rFonts w:cstheme="minorHAnsi"/>
        </w:rPr>
        <w:t>either at its own; or</w:t>
      </w:r>
    </w:p>
    <w:p w:rsidR="005F0496" w:rsidRPr="001D1EFC" w:rsidRDefault="005F0496" w:rsidP="009B55C2">
      <w:pPr>
        <w:pStyle w:val="ListParagraph"/>
        <w:widowControl w:val="0"/>
        <w:numPr>
          <w:ilvl w:val="0"/>
          <w:numId w:val="7"/>
        </w:numPr>
        <w:tabs>
          <w:tab w:val="num" w:pos="1191"/>
        </w:tabs>
        <w:autoSpaceDE w:val="0"/>
        <w:autoSpaceDN w:val="0"/>
        <w:adjustRightInd w:val="0"/>
        <w:ind w:left="1080"/>
        <w:jc w:val="both"/>
        <w:rPr>
          <w:rFonts w:cstheme="minorHAnsi"/>
          <w:bCs/>
        </w:rPr>
      </w:pPr>
      <w:r w:rsidRPr="001D1EFC">
        <w:rPr>
          <w:rFonts w:cstheme="minorHAnsi"/>
        </w:rPr>
        <w:t>together with one or more of its subsidiary companies:</w:t>
      </w:r>
    </w:p>
    <w:p w:rsidR="005F0496" w:rsidRPr="001D1EFC" w:rsidRDefault="005F0496" w:rsidP="009B55C2">
      <w:pPr>
        <w:widowControl w:val="0"/>
        <w:tabs>
          <w:tab w:val="num" w:pos="831"/>
        </w:tabs>
        <w:autoSpaceDE w:val="0"/>
        <w:autoSpaceDN w:val="0"/>
        <w:adjustRightInd w:val="0"/>
        <w:ind w:left="360"/>
        <w:jc w:val="both"/>
        <w:rPr>
          <w:rFonts w:cstheme="minorHAnsi"/>
          <w:b/>
          <w:bCs/>
          <w:i/>
          <w:sz w:val="24"/>
          <w:szCs w:val="24"/>
        </w:rPr>
      </w:pPr>
      <w:r w:rsidRPr="001D1EFC">
        <w:rPr>
          <w:rFonts w:cstheme="minorHAnsi"/>
          <w:b/>
          <w:bCs/>
          <w:i/>
          <w:sz w:val="24"/>
          <w:szCs w:val="24"/>
        </w:rPr>
        <w:t>Explanation:</w:t>
      </w:r>
    </w:p>
    <w:p w:rsidR="005F0496" w:rsidRPr="001D1EFC" w:rsidRDefault="005F0496" w:rsidP="009B55C2">
      <w:pPr>
        <w:pStyle w:val="ListParagraph"/>
        <w:widowControl w:val="0"/>
        <w:numPr>
          <w:ilvl w:val="0"/>
          <w:numId w:val="8"/>
        </w:numPr>
        <w:tabs>
          <w:tab w:val="num" w:pos="1191"/>
        </w:tabs>
        <w:autoSpaceDE w:val="0"/>
        <w:autoSpaceDN w:val="0"/>
        <w:adjustRightInd w:val="0"/>
        <w:ind w:left="1080"/>
        <w:jc w:val="both"/>
        <w:rPr>
          <w:rFonts w:cstheme="minorHAnsi"/>
          <w:bCs/>
        </w:rPr>
      </w:pPr>
      <w:r w:rsidRPr="001D1EFC">
        <w:rPr>
          <w:rFonts w:cstheme="minorHAnsi"/>
        </w:rPr>
        <w:t>company shall be deemed to be a subsidiary company of the holding company even if the control referred to in sub-clause (</w:t>
      </w:r>
      <w:proofErr w:type="spellStart"/>
      <w:r w:rsidRPr="001D1EFC">
        <w:rPr>
          <w:rFonts w:cstheme="minorHAnsi"/>
        </w:rPr>
        <w:t>i</w:t>
      </w:r>
      <w:proofErr w:type="spellEnd"/>
      <w:r w:rsidRPr="001D1EFC">
        <w:rPr>
          <w:rFonts w:cstheme="minorHAnsi"/>
        </w:rPr>
        <w:t>) or sub-clause (ii) is of another subsidiary company of the holding company;</w:t>
      </w:r>
    </w:p>
    <w:p w:rsidR="005F0496" w:rsidRPr="001D1EFC" w:rsidRDefault="005F0496" w:rsidP="009B55C2">
      <w:pPr>
        <w:pStyle w:val="ListParagraph"/>
        <w:widowControl w:val="0"/>
        <w:numPr>
          <w:ilvl w:val="0"/>
          <w:numId w:val="8"/>
        </w:numPr>
        <w:tabs>
          <w:tab w:val="num" w:pos="1191"/>
        </w:tabs>
        <w:autoSpaceDE w:val="0"/>
        <w:autoSpaceDN w:val="0"/>
        <w:adjustRightInd w:val="0"/>
        <w:ind w:left="1080"/>
        <w:jc w:val="both"/>
        <w:rPr>
          <w:rFonts w:cstheme="minorHAnsi"/>
          <w:bCs/>
        </w:rPr>
      </w:pPr>
      <w:r w:rsidRPr="001D1EFC">
        <w:rPr>
          <w:rFonts w:cstheme="minorHAnsi"/>
        </w:rPr>
        <w:t>the composition of a company’s Board of Directors shall be deemed to be controlled by</w:t>
      </w:r>
      <w:r w:rsidRPr="001D1EFC">
        <w:rPr>
          <w:rFonts w:cstheme="minorHAnsi"/>
          <w:w w:val="98"/>
        </w:rPr>
        <w:t xml:space="preserve"> another company if that other company, by exercise of some power exercisable by it at its</w:t>
      </w:r>
      <w:r w:rsidRPr="001D1EFC">
        <w:rPr>
          <w:rFonts w:cstheme="minorHAnsi"/>
        </w:rPr>
        <w:t xml:space="preserve"> discretion, can appoint or remove all or a majority of the directors;</w:t>
      </w:r>
    </w:p>
    <w:p w:rsidR="005F0496" w:rsidRPr="001D1EFC" w:rsidRDefault="005F0496" w:rsidP="009B55C2">
      <w:pPr>
        <w:pStyle w:val="ListParagraph"/>
        <w:widowControl w:val="0"/>
        <w:numPr>
          <w:ilvl w:val="0"/>
          <w:numId w:val="8"/>
        </w:numPr>
        <w:tabs>
          <w:tab w:val="num" w:pos="1191"/>
        </w:tabs>
        <w:autoSpaceDE w:val="0"/>
        <w:autoSpaceDN w:val="0"/>
        <w:adjustRightInd w:val="0"/>
        <w:ind w:left="1080"/>
        <w:jc w:val="both"/>
        <w:rPr>
          <w:rFonts w:cstheme="minorHAnsi"/>
          <w:bCs/>
        </w:rPr>
      </w:pPr>
      <w:r w:rsidRPr="001D1EFC">
        <w:rPr>
          <w:rFonts w:cstheme="minorHAnsi"/>
        </w:rPr>
        <w:t>the expression “company” includes anybody corporate;</w:t>
      </w:r>
    </w:p>
    <w:p w:rsidR="005F0496" w:rsidRPr="001D1EFC" w:rsidRDefault="005F0496" w:rsidP="009B55C2">
      <w:pPr>
        <w:pStyle w:val="ListParagraph"/>
        <w:widowControl w:val="0"/>
        <w:numPr>
          <w:ilvl w:val="0"/>
          <w:numId w:val="8"/>
        </w:numPr>
        <w:tabs>
          <w:tab w:val="num" w:pos="1191"/>
        </w:tabs>
        <w:autoSpaceDE w:val="0"/>
        <w:autoSpaceDN w:val="0"/>
        <w:adjustRightInd w:val="0"/>
        <w:ind w:left="1080"/>
        <w:jc w:val="both"/>
        <w:rPr>
          <w:rFonts w:cstheme="minorHAnsi"/>
          <w:bCs/>
        </w:rPr>
      </w:pPr>
      <w:r w:rsidRPr="001D1EFC">
        <w:rPr>
          <w:rFonts w:cstheme="minorHAnsi"/>
        </w:rPr>
        <w:t>“layer” in relation to a holding company means its subsidiary or subsidiaries;</w:t>
      </w:r>
    </w:p>
    <w:p w:rsidR="005F0496" w:rsidRPr="009B55C2" w:rsidRDefault="005F0496" w:rsidP="009B55C2">
      <w:pPr>
        <w:pStyle w:val="ListParagraph"/>
        <w:widowControl w:val="0"/>
        <w:autoSpaceDE w:val="0"/>
        <w:autoSpaceDN w:val="0"/>
        <w:adjustRightInd w:val="0"/>
        <w:ind w:left="1080"/>
        <w:jc w:val="both"/>
        <w:rPr>
          <w:rFonts w:cstheme="minorHAnsi"/>
          <w:bCs/>
          <w:sz w:val="24"/>
          <w:szCs w:val="24"/>
        </w:rPr>
      </w:pPr>
    </w:p>
    <w:p w:rsidR="005F0496" w:rsidRPr="001D1EFC" w:rsidRDefault="005F0496" w:rsidP="00331BE1">
      <w:pPr>
        <w:pStyle w:val="ListParagraph"/>
        <w:numPr>
          <w:ilvl w:val="0"/>
          <w:numId w:val="32"/>
        </w:numPr>
        <w:spacing w:line="240" w:lineRule="auto"/>
        <w:jc w:val="both"/>
        <w:rPr>
          <w:rFonts w:cstheme="minorHAnsi"/>
          <w:b/>
          <w:bCs/>
          <w:i/>
          <w:sz w:val="26"/>
          <w:szCs w:val="26"/>
          <w:u w:val="single"/>
        </w:rPr>
      </w:pPr>
      <w:r w:rsidRPr="001D1EFC">
        <w:rPr>
          <w:rFonts w:cstheme="minorHAnsi"/>
          <w:b/>
          <w:bCs/>
          <w:i/>
          <w:sz w:val="26"/>
          <w:szCs w:val="26"/>
          <w:u w:val="single"/>
        </w:rPr>
        <w:t>Key  Managerial Personnel:</w:t>
      </w:r>
    </w:p>
    <w:p w:rsidR="005F0496" w:rsidRPr="001D1EFC" w:rsidRDefault="005F0496" w:rsidP="009B55C2">
      <w:pPr>
        <w:ind w:left="360"/>
        <w:jc w:val="both"/>
        <w:rPr>
          <w:rFonts w:cstheme="minorHAnsi"/>
          <w:bCs/>
        </w:rPr>
      </w:pPr>
      <w:r w:rsidRPr="001D1EFC">
        <w:rPr>
          <w:rFonts w:cstheme="minorHAnsi"/>
          <w:bCs/>
        </w:rPr>
        <w:t>Sec 2 (51) of the Act:</w:t>
      </w:r>
    </w:p>
    <w:p w:rsidR="005F0496" w:rsidRPr="001D1EFC" w:rsidRDefault="005F0496" w:rsidP="009B55C2">
      <w:pPr>
        <w:ind w:left="360"/>
        <w:jc w:val="both"/>
        <w:rPr>
          <w:rFonts w:cstheme="minorHAnsi"/>
          <w:bCs/>
        </w:rPr>
      </w:pPr>
      <w:r w:rsidRPr="001D1EFC">
        <w:rPr>
          <w:rFonts w:cstheme="minorHAnsi"/>
          <w:bCs/>
        </w:rPr>
        <w:t>In relation to a company means:</w:t>
      </w:r>
    </w:p>
    <w:p w:rsidR="005F0496" w:rsidRPr="001D1EFC" w:rsidRDefault="005F0496" w:rsidP="009B55C2">
      <w:pPr>
        <w:numPr>
          <w:ilvl w:val="0"/>
          <w:numId w:val="9"/>
        </w:numPr>
        <w:tabs>
          <w:tab w:val="num" w:pos="1191"/>
        </w:tabs>
        <w:spacing w:line="240" w:lineRule="auto"/>
        <w:ind w:left="1080"/>
        <w:jc w:val="both"/>
        <w:rPr>
          <w:rFonts w:cstheme="minorHAnsi"/>
          <w:bCs/>
        </w:rPr>
      </w:pPr>
      <w:r w:rsidRPr="001D1EFC">
        <w:rPr>
          <w:rFonts w:cstheme="minorHAnsi"/>
          <w:bCs/>
        </w:rPr>
        <w:t>the Chief Executive Officer (CEO) and /or the Managing Director (MD) or the Manager;</w:t>
      </w:r>
    </w:p>
    <w:p w:rsidR="005F0496" w:rsidRPr="001D1EFC" w:rsidRDefault="005F0496" w:rsidP="009B55C2">
      <w:pPr>
        <w:numPr>
          <w:ilvl w:val="0"/>
          <w:numId w:val="9"/>
        </w:numPr>
        <w:tabs>
          <w:tab w:val="num" w:pos="1191"/>
        </w:tabs>
        <w:spacing w:line="240" w:lineRule="auto"/>
        <w:ind w:left="1080"/>
        <w:jc w:val="both"/>
        <w:rPr>
          <w:rFonts w:cstheme="minorHAnsi"/>
          <w:bCs/>
        </w:rPr>
      </w:pPr>
      <w:r w:rsidRPr="001D1EFC">
        <w:rPr>
          <w:rFonts w:cstheme="minorHAnsi"/>
          <w:bCs/>
        </w:rPr>
        <w:t>the Company Secretary (CS);</w:t>
      </w:r>
    </w:p>
    <w:p w:rsidR="005F0496" w:rsidRPr="001D1EFC" w:rsidRDefault="005F0496" w:rsidP="009B55C2">
      <w:pPr>
        <w:numPr>
          <w:ilvl w:val="0"/>
          <w:numId w:val="9"/>
        </w:numPr>
        <w:tabs>
          <w:tab w:val="num" w:pos="1191"/>
        </w:tabs>
        <w:spacing w:line="240" w:lineRule="auto"/>
        <w:ind w:left="1080"/>
        <w:jc w:val="both"/>
        <w:rPr>
          <w:rFonts w:cstheme="minorHAnsi"/>
          <w:bCs/>
        </w:rPr>
      </w:pPr>
      <w:r w:rsidRPr="001D1EFC">
        <w:rPr>
          <w:rFonts w:cstheme="minorHAnsi"/>
          <w:bCs/>
        </w:rPr>
        <w:t>the Whole- time Director (WTD);</w:t>
      </w:r>
    </w:p>
    <w:p w:rsidR="005F0496" w:rsidRPr="001D1EFC" w:rsidRDefault="005F0496" w:rsidP="009B55C2">
      <w:pPr>
        <w:numPr>
          <w:ilvl w:val="0"/>
          <w:numId w:val="9"/>
        </w:numPr>
        <w:tabs>
          <w:tab w:val="num" w:pos="1191"/>
        </w:tabs>
        <w:spacing w:line="240" w:lineRule="auto"/>
        <w:ind w:left="1080"/>
        <w:jc w:val="both"/>
        <w:rPr>
          <w:rFonts w:cstheme="minorHAnsi"/>
          <w:bCs/>
        </w:rPr>
      </w:pPr>
      <w:r w:rsidRPr="001D1EFC">
        <w:rPr>
          <w:rFonts w:cstheme="minorHAnsi"/>
          <w:bCs/>
        </w:rPr>
        <w:t>the Chief Financial Officer (CFO); and</w:t>
      </w:r>
    </w:p>
    <w:p w:rsidR="005F0496" w:rsidRPr="001D1EFC" w:rsidRDefault="005F0496" w:rsidP="009B55C2">
      <w:pPr>
        <w:numPr>
          <w:ilvl w:val="0"/>
          <w:numId w:val="9"/>
        </w:numPr>
        <w:tabs>
          <w:tab w:val="num" w:pos="1191"/>
        </w:tabs>
        <w:spacing w:line="240" w:lineRule="auto"/>
        <w:ind w:left="1080"/>
        <w:jc w:val="both"/>
        <w:rPr>
          <w:rFonts w:cstheme="minorHAnsi"/>
          <w:bCs/>
        </w:rPr>
      </w:pPr>
      <w:r w:rsidRPr="001D1EFC">
        <w:rPr>
          <w:rFonts w:cstheme="minorHAnsi"/>
          <w:bCs/>
        </w:rPr>
        <w:t>Such other officer as prescribed under the Companies Act from time to time.</w:t>
      </w:r>
    </w:p>
    <w:p w:rsidR="00C861E8" w:rsidRDefault="00C861E8" w:rsidP="009B55C2">
      <w:pPr>
        <w:spacing w:line="240" w:lineRule="auto"/>
        <w:jc w:val="both"/>
        <w:rPr>
          <w:rFonts w:cstheme="minorHAnsi"/>
          <w:b/>
          <w:bCs/>
          <w:i/>
          <w:sz w:val="26"/>
          <w:szCs w:val="26"/>
        </w:rPr>
      </w:pPr>
    </w:p>
    <w:p w:rsidR="00C861E8" w:rsidRDefault="00C861E8" w:rsidP="009B55C2">
      <w:pPr>
        <w:spacing w:line="240" w:lineRule="auto"/>
        <w:jc w:val="both"/>
        <w:rPr>
          <w:rFonts w:cstheme="minorHAnsi"/>
          <w:b/>
          <w:bCs/>
          <w:i/>
          <w:sz w:val="26"/>
          <w:szCs w:val="26"/>
        </w:rPr>
      </w:pPr>
    </w:p>
    <w:p w:rsidR="009B55C2" w:rsidRPr="001D1EFC" w:rsidRDefault="00F9328D" w:rsidP="009B55C2">
      <w:pPr>
        <w:spacing w:line="240" w:lineRule="auto"/>
        <w:jc w:val="both"/>
        <w:rPr>
          <w:rFonts w:cstheme="minorHAnsi"/>
          <w:b/>
          <w:bCs/>
          <w:i/>
          <w:sz w:val="26"/>
          <w:szCs w:val="26"/>
          <w:u w:val="single"/>
        </w:rPr>
      </w:pPr>
      <w:proofErr w:type="gramStart"/>
      <w:r>
        <w:rPr>
          <w:rFonts w:cstheme="minorHAnsi"/>
          <w:b/>
          <w:bCs/>
          <w:i/>
          <w:sz w:val="26"/>
          <w:szCs w:val="26"/>
        </w:rPr>
        <w:lastRenderedPageBreak/>
        <w:t xml:space="preserve">g. </w:t>
      </w:r>
      <w:r w:rsidR="0005586E">
        <w:rPr>
          <w:rFonts w:cstheme="minorHAnsi"/>
          <w:b/>
          <w:bCs/>
          <w:i/>
          <w:sz w:val="26"/>
          <w:szCs w:val="26"/>
          <w:u w:val="single"/>
        </w:rPr>
        <w:t xml:space="preserve"> </w:t>
      </w:r>
      <w:r w:rsidR="0005586E" w:rsidRPr="001D1EFC">
        <w:rPr>
          <w:rFonts w:cstheme="minorHAnsi"/>
          <w:b/>
          <w:bCs/>
          <w:i/>
          <w:sz w:val="26"/>
          <w:szCs w:val="26"/>
          <w:u w:val="single"/>
        </w:rPr>
        <w:t>Materiality</w:t>
      </w:r>
      <w:proofErr w:type="gramEnd"/>
      <w:r w:rsidR="0005586E" w:rsidRPr="001D1EFC">
        <w:rPr>
          <w:rFonts w:cstheme="minorHAnsi"/>
          <w:b/>
          <w:bCs/>
          <w:i/>
          <w:sz w:val="26"/>
          <w:szCs w:val="26"/>
          <w:u w:val="single"/>
        </w:rPr>
        <w:t>:</w:t>
      </w:r>
    </w:p>
    <w:p w:rsidR="005F0496" w:rsidRPr="001D1EFC" w:rsidRDefault="001055D6" w:rsidP="009B55C2">
      <w:pPr>
        <w:spacing w:line="240" w:lineRule="auto"/>
        <w:jc w:val="both"/>
        <w:rPr>
          <w:rFonts w:cstheme="minorHAnsi"/>
          <w:b/>
          <w:bCs/>
          <w:i/>
          <w:sz w:val="24"/>
          <w:szCs w:val="24"/>
        </w:rPr>
      </w:pPr>
      <w:proofErr w:type="spellStart"/>
      <w:proofErr w:type="gramStart"/>
      <w:r>
        <w:rPr>
          <w:rFonts w:cstheme="minorHAnsi"/>
          <w:b/>
          <w:bCs/>
          <w:i/>
          <w:sz w:val="24"/>
          <w:szCs w:val="24"/>
        </w:rPr>
        <w:t>i</w:t>
      </w:r>
      <w:proofErr w:type="spellEnd"/>
      <w:proofErr w:type="gramEnd"/>
      <w:r w:rsidR="005F0496" w:rsidRPr="001D1EFC">
        <w:rPr>
          <w:rFonts w:cstheme="minorHAnsi"/>
          <w:b/>
          <w:bCs/>
          <w:i/>
          <w:sz w:val="24"/>
          <w:szCs w:val="24"/>
        </w:rPr>
        <w:t xml:space="preserve">. </w:t>
      </w:r>
      <w:r w:rsidR="00C861E8" w:rsidRPr="00C861E8">
        <w:rPr>
          <w:rFonts w:cstheme="minorHAnsi"/>
          <w:b/>
          <w:bCs/>
          <w:i/>
          <w:sz w:val="24"/>
          <w:szCs w:val="24"/>
        </w:rPr>
        <w:t xml:space="preserve">Under </w:t>
      </w:r>
      <w:r w:rsidR="00C861E8" w:rsidRPr="00C861E8">
        <w:rPr>
          <w:rFonts w:cstheme="minorHAnsi"/>
          <w:b/>
          <w:bCs/>
          <w:i/>
          <w:sz w:val="24"/>
          <w:szCs w:val="24"/>
          <w:lang w:val="en-IN"/>
        </w:rPr>
        <w:t>Regulation 23(1) of the SEBI (Listing Obligation and Disclosure Requirements) Regulations 2015</w:t>
      </w:r>
      <w:r w:rsidR="00C861E8">
        <w:rPr>
          <w:rFonts w:cstheme="minorHAnsi"/>
          <w:b/>
          <w:bCs/>
          <w:i/>
          <w:sz w:val="24"/>
          <w:szCs w:val="24"/>
          <w:lang w:val="en-IN"/>
        </w:rPr>
        <w:t xml:space="preserve"> </w:t>
      </w:r>
      <w:r w:rsidR="005F0496" w:rsidRPr="001D1EFC">
        <w:rPr>
          <w:rFonts w:cstheme="minorHAnsi"/>
          <w:b/>
          <w:bCs/>
          <w:i/>
          <w:sz w:val="24"/>
          <w:szCs w:val="24"/>
        </w:rPr>
        <w:t xml:space="preserve">with Stock Exchanges </w:t>
      </w:r>
    </w:p>
    <w:p w:rsidR="005F0496" w:rsidRDefault="005F0496" w:rsidP="009B55C2">
      <w:pPr>
        <w:spacing w:line="240" w:lineRule="auto"/>
        <w:jc w:val="both"/>
        <w:rPr>
          <w:rFonts w:cstheme="minorHAnsi"/>
          <w:bCs/>
          <w:sz w:val="24"/>
          <w:szCs w:val="24"/>
        </w:rPr>
      </w:pPr>
      <w:r w:rsidRPr="009B55C2">
        <w:rPr>
          <w:rFonts w:cstheme="minorHAnsi"/>
          <w:bCs/>
          <w:sz w:val="24"/>
          <w:szCs w:val="24"/>
        </w:rPr>
        <w:t>A Related Party Transaction shall be considered Material if the transaction / transactions to be entered into individually or taken together with previous transactions during a financial year exceed 10% of the annual consolidated turnover of the Company as per the last audited Financial Statements of the Company.</w:t>
      </w:r>
    </w:p>
    <w:tbl>
      <w:tblPr>
        <w:tblW w:w="9810" w:type="dxa"/>
        <w:tblCellMar>
          <w:left w:w="0" w:type="dxa"/>
          <w:right w:w="0" w:type="dxa"/>
        </w:tblCellMar>
        <w:tblLook w:val="0000"/>
      </w:tblPr>
      <w:tblGrid>
        <w:gridCol w:w="498"/>
        <w:gridCol w:w="16"/>
        <w:gridCol w:w="2906"/>
        <w:gridCol w:w="6390"/>
      </w:tblGrid>
      <w:tr w:rsidR="009B55C2" w:rsidRPr="009B55C2" w:rsidTr="003E5C32">
        <w:trPr>
          <w:gridAfter w:val="1"/>
          <w:wAfter w:w="6390" w:type="dxa"/>
          <w:trHeight w:val="265"/>
        </w:trPr>
        <w:tc>
          <w:tcPr>
            <w:tcW w:w="0" w:type="auto"/>
            <w:tcBorders>
              <w:top w:val="nil"/>
              <w:left w:val="nil"/>
              <w:bottom w:val="nil"/>
              <w:right w:val="nil"/>
            </w:tcBorders>
          </w:tcPr>
          <w:p w:rsidR="009B55C2" w:rsidRPr="001D1EFC" w:rsidRDefault="001055D6" w:rsidP="001055D6">
            <w:pPr>
              <w:spacing w:line="240" w:lineRule="auto"/>
              <w:jc w:val="both"/>
              <w:rPr>
                <w:rFonts w:cstheme="minorHAnsi"/>
                <w:bCs/>
                <w:i/>
                <w:sz w:val="24"/>
                <w:szCs w:val="24"/>
              </w:rPr>
            </w:pPr>
            <w:r>
              <w:rPr>
                <w:rFonts w:cstheme="minorHAnsi"/>
                <w:b/>
                <w:bCs/>
                <w:i/>
                <w:sz w:val="24"/>
                <w:szCs w:val="24"/>
              </w:rPr>
              <w:t>ii</w:t>
            </w:r>
            <w:r w:rsidR="009B55C2" w:rsidRPr="001D1EFC">
              <w:rPr>
                <w:rFonts w:cstheme="minorHAnsi"/>
                <w:b/>
                <w:bCs/>
                <w:i/>
                <w:sz w:val="24"/>
                <w:szCs w:val="24"/>
              </w:rPr>
              <w:t>.</w:t>
            </w:r>
          </w:p>
        </w:tc>
        <w:tc>
          <w:tcPr>
            <w:tcW w:w="2922" w:type="dxa"/>
            <w:gridSpan w:val="2"/>
          </w:tcPr>
          <w:p w:rsidR="009B55C2" w:rsidRPr="001D1EFC" w:rsidRDefault="009B55C2" w:rsidP="009B55C2">
            <w:pPr>
              <w:spacing w:line="240" w:lineRule="auto"/>
              <w:jc w:val="both"/>
              <w:rPr>
                <w:rFonts w:cstheme="minorHAnsi"/>
                <w:bCs/>
                <w:i/>
                <w:sz w:val="24"/>
                <w:szCs w:val="24"/>
              </w:rPr>
            </w:pPr>
            <w:r w:rsidRPr="001D1EFC">
              <w:rPr>
                <w:rFonts w:cstheme="minorHAnsi"/>
                <w:b/>
                <w:bCs/>
                <w:i/>
                <w:sz w:val="24"/>
                <w:szCs w:val="24"/>
              </w:rPr>
              <w:t>Under the Act</w:t>
            </w:r>
          </w:p>
        </w:tc>
      </w:tr>
      <w:tr w:rsidR="009B55C2" w:rsidRPr="009B55C2" w:rsidTr="003E5C32">
        <w:trPr>
          <w:trHeight w:val="226"/>
        </w:trPr>
        <w:tc>
          <w:tcPr>
            <w:tcW w:w="0" w:type="auto"/>
            <w:tcBorders>
              <w:top w:val="nil"/>
              <w:left w:val="nil"/>
              <w:bottom w:val="single" w:sz="8" w:space="0" w:color="auto"/>
              <w:right w:val="nil"/>
            </w:tcBorders>
          </w:tcPr>
          <w:p w:rsidR="009B55C2" w:rsidRPr="009B55C2" w:rsidRDefault="009B55C2" w:rsidP="009B55C2">
            <w:pPr>
              <w:spacing w:line="240" w:lineRule="auto"/>
              <w:jc w:val="both"/>
              <w:rPr>
                <w:rFonts w:cstheme="minorHAnsi"/>
                <w:bCs/>
                <w:sz w:val="24"/>
                <w:szCs w:val="24"/>
              </w:rPr>
            </w:pPr>
          </w:p>
        </w:tc>
        <w:tc>
          <w:tcPr>
            <w:tcW w:w="0" w:type="auto"/>
            <w:tcBorders>
              <w:top w:val="nil"/>
              <w:left w:val="nil"/>
              <w:bottom w:val="single" w:sz="8" w:space="0" w:color="auto"/>
              <w:right w:val="nil"/>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nil"/>
            </w:tcBorders>
          </w:tcPr>
          <w:p w:rsidR="009B55C2" w:rsidRPr="009B55C2" w:rsidRDefault="009B55C2" w:rsidP="009B55C2">
            <w:pPr>
              <w:spacing w:line="240" w:lineRule="auto"/>
              <w:jc w:val="both"/>
              <w:rPr>
                <w:rFonts w:cstheme="minorHAnsi"/>
                <w:bCs/>
                <w:sz w:val="24"/>
                <w:szCs w:val="24"/>
              </w:rPr>
            </w:pPr>
          </w:p>
        </w:tc>
        <w:tc>
          <w:tcPr>
            <w:tcW w:w="6390" w:type="dxa"/>
            <w:tcBorders>
              <w:top w:val="nil"/>
              <w:left w:val="nil"/>
              <w:bottom w:val="single" w:sz="8" w:space="0" w:color="auto"/>
              <w:right w:val="nil"/>
            </w:tcBorders>
          </w:tcPr>
          <w:p w:rsidR="009B55C2" w:rsidRPr="009B55C2" w:rsidRDefault="009B55C2" w:rsidP="009B55C2">
            <w:pPr>
              <w:spacing w:line="240" w:lineRule="auto"/>
              <w:jc w:val="both"/>
              <w:rPr>
                <w:rFonts w:cstheme="minorHAnsi"/>
                <w:bCs/>
                <w:sz w:val="24"/>
                <w:szCs w:val="24"/>
              </w:rPr>
            </w:pPr>
          </w:p>
        </w:tc>
      </w:tr>
      <w:tr w:rsidR="009B55C2" w:rsidRPr="009B55C2" w:rsidTr="003E5C32">
        <w:trPr>
          <w:trHeight w:val="243"/>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
                <w:bCs/>
                <w:sz w:val="24"/>
                <w:szCs w:val="24"/>
              </w:rPr>
              <w:t>S. No</w:t>
            </w:r>
          </w:p>
        </w:tc>
        <w:tc>
          <w:tcPr>
            <w:tcW w:w="0" w:type="auto"/>
            <w:tcBorders>
              <w:top w:val="nil"/>
              <w:left w:val="nil"/>
              <w:bottom w:val="nil"/>
              <w:right w:val="single" w:sz="8" w:space="0" w:color="auto"/>
            </w:tcBorders>
          </w:tcPr>
          <w:p w:rsidR="009B55C2" w:rsidRPr="009B55C2" w:rsidRDefault="009B55C2" w:rsidP="009B55C2">
            <w:pPr>
              <w:spacing w:line="240" w:lineRule="auto"/>
              <w:jc w:val="center"/>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center"/>
              <w:rPr>
                <w:rFonts w:cstheme="minorHAnsi"/>
                <w:bCs/>
              </w:rPr>
            </w:pPr>
            <w:r w:rsidRPr="003E5C32">
              <w:rPr>
                <w:rFonts w:cstheme="minorHAnsi"/>
                <w:b/>
                <w:bCs/>
              </w:rPr>
              <w:t>Transaction or contract or</w:t>
            </w:r>
          </w:p>
        </w:tc>
        <w:tc>
          <w:tcPr>
            <w:tcW w:w="6390" w:type="dxa"/>
            <w:tcBorders>
              <w:top w:val="nil"/>
              <w:left w:val="nil"/>
              <w:bottom w:val="nil"/>
              <w:right w:val="single" w:sz="8" w:space="0" w:color="auto"/>
            </w:tcBorders>
          </w:tcPr>
          <w:p w:rsidR="009B55C2" w:rsidRPr="003E5C32" w:rsidRDefault="009B55C2" w:rsidP="009B55C2">
            <w:pPr>
              <w:spacing w:line="240" w:lineRule="auto"/>
              <w:jc w:val="center"/>
              <w:rPr>
                <w:rFonts w:cstheme="minorHAnsi"/>
                <w:bCs/>
              </w:rPr>
            </w:pPr>
            <w:r w:rsidRPr="003E5C32">
              <w:rPr>
                <w:rFonts w:cstheme="minorHAnsi"/>
                <w:b/>
                <w:bCs/>
              </w:rPr>
              <w:t xml:space="preserve">Limits for the time being in force * </w:t>
            </w:r>
            <w:r w:rsidRPr="003E5C32">
              <w:rPr>
                <w:rFonts w:cstheme="minorHAnsi"/>
                <w:bCs/>
              </w:rPr>
              <w:t>[as per Rule 15 of the Companies</w:t>
            </w:r>
          </w:p>
        </w:tc>
      </w:tr>
      <w:tr w:rsidR="009B55C2" w:rsidRPr="009B55C2" w:rsidTr="003E5C32">
        <w:trPr>
          <w:trHeight w:val="256"/>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center"/>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center"/>
              <w:rPr>
                <w:rFonts w:cstheme="minorHAnsi"/>
                <w:bCs/>
              </w:rPr>
            </w:pPr>
            <w:r w:rsidRPr="003E5C32">
              <w:rPr>
                <w:rFonts w:cstheme="minorHAnsi"/>
                <w:b/>
                <w:bCs/>
              </w:rPr>
              <w:t>arrangements for</w:t>
            </w: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center"/>
              <w:rPr>
                <w:rFonts w:cstheme="minorHAnsi"/>
                <w:bCs/>
              </w:rPr>
            </w:pPr>
            <w:r w:rsidRPr="003E5C32">
              <w:rPr>
                <w:rFonts w:cstheme="minorHAnsi"/>
                <w:bCs/>
              </w:rPr>
              <w:t>(Meetings of Board and its Powers) Rules, 2014]</w:t>
            </w:r>
          </w:p>
        </w:tc>
      </w:tr>
      <w:tr w:rsidR="009B55C2" w:rsidRPr="009B55C2" w:rsidTr="003E5C32">
        <w:trPr>
          <w:trHeight w:val="245"/>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1</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Sale, purchases or supply of any</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 xml:space="preserve">10% of net worth or Rs. 100 </w:t>
            </w:r>
            <w:proofErr w:type="spellStart"/>
            <w:r w:rsidRPr="003E5C32">
              <w:rPr>
                <w:rFonts w:cstheme="minorHAnsi"/>
                <w:bCs/>
              </w:rPr>
              <w:t>Crores</w:t>
            </w:r>
            <w:proofErr w:type="spellEnd"/>
            <w:r w:rsidRPr="003E5C32">
              <w:rPr>
                <w:rFonts w:cstheme="minorHAnsi"/>
                <w:bCs/>
              </w:rPr>
              <w:t>, whichever is lower</w:t>
            </w:r>
          </w:p>
        </w:tc>
      </w:tr>
      <w:tr w:rsidR="009B55C2" w:rsidRPr="009B55C2" w:rsidTr="003E5C32">
        <w:trPr>
          <w:trHeight w:val="25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goods or materials</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(For the transaction or transactions to be entered in to either individually</w:t>
            </w:r>
          </w:p>
        </w:tc>
      </w:tr>
      <w:tr w:rsidR="009B55C2" w:rsidRPr="009B55C2" w:rsidTr="003E5C32">
        <w:trPr>
          <w:trHeight w:val="478"/>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or taken together with the previous transactions during a Financial Year )</w:t>
            </w:r>
          </w:p>
        </w:tc>
      </w:tr>
      <w:tr w:rsidR="009B55C2" w:rsidRPr="009B55C2" w:rsidTr="003E5C32">
        <w:trPr>
          <w:trHeight w:val="24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2</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Selling or otherwise disposing of, or</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 xml:space="preserve">10% of net worth or Rs. 100 </w:t>
            </w:r>
            <w:proofErr w:type="spellStart"/>
            <w:r w:rsidRPr="003E5C32">
              <w:rPr>
                <w:rFonts w:cstheme="minorHAnsi"/>
                <w:bCs/>
              </w:rPr>
              <w:t>Crores</w:t>
            </w:r>
            <w:proofErr w:type="spellEnd"/>
            <w:r w:rsidRPr="003E5C32">
              <w:rPr>
                <w:rFonts w:cstheme="minorHAnsi"/>
                <w:bCs/>
              </w:rPr>
              <w:t>, whichever is lower</w:t>
            </w:r>
          </w:p>
        </w:tc>
      </w:tr>
      <w:tr w:rsidR="009B55C2" w:rsidRPr="009B55C2" w:rsidTr="003E5C32">
        <w:trPr>
          <w:trHeight w:val="259"/>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buying property of any kind</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(For the transaction or transactions to be entered in to either individually</w:t>
            </w:r>
          </w:p>
        </w:tc>
      </w:tr>
      <w:tr w:rsidR="009B55C2" w:rsidRPr="009B55C2" w:rsidTr="003E5C32">
        <w:trPr>
          <w:trHeight w:val="263"/>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or taken together with the previous transactions during a Financial Year )</w:t>
            </w:r>
          </w:p>
        </w:tc>
      </w:tr>
      <w:tr w:rsidR="009B55C2" w:rsidRPr="009B55C2" w:rsidTr="003E5C32">
        <w:trPr>
          <w:trHeight w:val="82"/>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245"/>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3</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Leasing of property of any kind</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 xml:space="preserve">10% of net worth or 10% of turnover or Rs. 100 </w:t>
            </w:r>
            <w:proofErr w:type="spellStart"/>
            <w:r w:rsidRPr="003E5C32">
              <w:rPr>
                <w:rFonts w:cstheme="minorHAnsi"/>
                <w:bCs/>
              </w:rPr>
              <w:t>Crores</w:t>
            </w:r>
            <w:proofErr w:type="spellEnd"/>
            <w:r w:rsidRPr="003E5C32">
              <w:rPr>
                <w:rFonts w:cstheme="minorHAnsi"/>
                <w:bCs/>
              </w:rPr>
              <w:t>, whichever is</w:t>
            </w:r>
          </w:p>
        </w:tc>
      </w:tr>
      <w:tr w:rsidR="009B55C2" w:rsidRPr="009B55C2" w:rsidTr="003E5C32">
        <w:trPr>
          <w:trHeight w:val="25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lower</w:t>
            </w:r>
          </w:p>
        </w:tc>
      </w:tr>
      <w:tr w:rsidR="009B55C2" w:rsidRPr="009B55C2" w:rsidTr="003E5C32">
        <w:trPr>
          <w:trHeight w:val="259"/>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(For the transaction or transactions to be entered in to either individually</w:t>
            </w:r>
          </w:p>
        </w:tc>
      </w:tr>
      <w:tr w:rsidR="009B55C2" w:rsidRPr="009B55C2" w:rsidTr="003E5C32">
        <w:trPr>
          <w:trHeight w:val="249"/>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or taken together with the previous transactions during a Financial Year )</w:t>
            </w:r>
          </w:p>
        </w:tc>
      </w:tr>
      <w:tr w:rsidR="009B55C2" w:rsidRPr="009B55C2" w:rsidTr="003E5C32">
        <w:trPr>
          <w:trHeight w:val="25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4</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Availing or rendering of any</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 xml:space="preserve">10% of net worth or Rs. 50 </w:t>
            </w:r>
            <w:proofErr w:type="spellStart"/>
            <w:r w:rsidRPr="003E5C32">
              <w:rPr>
                <w:rFonts w:cstheme="minorHAnsi"/>
                <w:bCs/>
              </w:rPr>
              <w:t>Crores</w:t>
            </w:r>
            <w:proofErr w:type="spellEnd"/>
            <w:r w:rsidRPr="003E5C32">
              <w:rPr>
                <w:rFonts w:cstheme="minorHAnsi"/>
                <w:bCs/>
              </w:rPr>
              <w:t>, whichever is lower</w:t>
            </w:r>
          </w:p>
        </w:tc>
      </w:tr>
      <w:tr w:rsidR="009B55C2" w:rsidRPr="009B55C2" w:rsidTr="003E5C32">
        <w:trPr>
          <w:trHeight w:val="25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services, directly or through</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(For the transaction or transactions to be entered in to either individually</w:t>
            </w:r>
          </w:p>
        </w:tc>
      </w:tr>
      <w:tr w:rsidR="009B55C2" w:rsidRPr="009B55C2" w:rsidTr="003E5C32">
        <w:trPr>
          <w:trHeight w:val="263"/>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appointment of agent</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or taken together with the previous transactions during a Financial Year )</w:t>
            </w:r>
          </w:p>
        </w:tc>
      </w:tr>
      <w:tr w:rsidR="009B55C2" w:rsidRPr="009B55C2" w:rsidTr="003E5C32">
        <w:trPr>
          <w:trHeight w:val="135"/>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24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5</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Such Related Party's appointment</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Where monthly remuneration exceeds Rs.2,50,000</w:t>
            </w:r>
          </w:p>
        </w:tc>
      </w:tr>
      <w:tr w:rsidR="009B55C2" w:rsidRPr="009B55C2" w:rsidTr="003E5C32">
        <w:trPr>
          <w:trHeight w:val="259"/>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to any office or place of profit in the</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25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company, its subsidiary company or</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165"/>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associate company</w:t>
            </w: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240"/>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r w:rsidRPr="009B55C2">
              <w:rPr>
                <w:rFonts w:cstheme="minorHAnsi"/>
                <w:bCs/>
                <w:sz w:val="24"/>
                <w:szCs w:val="24"/>
              </w:rPr>
              <w:t>6</w:t>
            </w: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Remuneration for underwriting the</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For amount exceeding 1% of Net Worth of the Company</w:t>
            </w:r>
          </w:p>
        </w:tc>
      </w:tr>
      <w:tr w:rsidR="009B55C2" w:rsidRPr="009B55C2" w:rsidTr="003E5C32">
        <w:trPr>
          <w:trHeight w:val="259"/>
        </w:trPr>
        <w:tc>
          <w:tcPr>
            <w:tcW w:w="0" w:type="auto"/>
            <w:tcBorders>
              <w:top w:val="nil"/>
              <w:left w:val="single" w:sz="8" w:space="0" w:color="auto"/>
              <w:bottom w:val="nil"/>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nil"/>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subscription of any securities or</w:t>
            </w:r>
          </w:p>
        </w:tc>
        <w:tc>
          <w:tcPr>
            <w:tcW w:w="6390" w:type="dxa"/>
            <w:tcBorders>
              <w:top w:val="nil"/>
              <w:left w:val="nil"/>
              <w:bottom w:val="nil"/>
              <w:right w:val="single" w:sz="8" w:space="0" w:color="auto"/>
            </w:tcBorders>
          </w:tcPr>
          <w:p w:rsidR="009B55C2" w:rsidRPr="003E5C32" w:rsidRDefault="009B55C2" w:rsidP="009B55C2">
            <w:pPr>
              <w:spacing w:line="240" w:lineRule="auto"/>
              <w:jc w:val="both"/>
              <w:rPr>
                <w:rFonts w:cstheme="minorHAnsi"/>
                <w:bCs/>
              </w:rPr>
            </w:pPr>
          </w:p>
        </w:tc>
      </w:tr>
      <w:tr w:rsidR="009B55C2" w:rsidRPr="009B55C2" w:rsidTr="003E5C32">
        <w:trPr>
          <w:trHeight w:val="254"/>
        </w:trPr>
        <w:tc>
          <w:tcPr>
            <w:tcW w:w="0" w:type="auto"/>
            <w:tcBorders>
              <w:top w:val="nil"/>
              <w:left w:val="single" w:sz="8" w:space="0" w:color="auto"/>
              <w:bottom w:val="single" w:sz="8" w:space="0" w:color="auto"/>
              <w:right w:val="nil"/>
            </w:tcBorders>
          </w:tcPr>
          <w:p w:rsidR="009B55C2" w:rsidRPr="009B55C2" w:rsidRDefault="009B55C2" w:rsidP="009B55C2">
            <w:pPr>
              <w:spacing w:line="240" w:lineRule="auto"/>
              <w:jc w:val="center"/>
              <w:rPr>
                <w:rFonts w:cstheme="minorHAnsi"/>
                <w:bCs/>
                <w:sz w:val="24"/>
                <w:szCs w:val="24"/>
              </w:rPr>
            </w:pPr>
          </w:p>
        </w:tc>
        <w:tc>
          <w:tcPr>
            <w:tcW w:w="0" w:type="auto"/>
            <w:tcBorders>
              <w:top w:val="nil"/>
              <w:left w:val="nil"/>
              <w:bottom w:val="single" w:sz="8" w:space="0" w:color="auto"/>
              <w:right w:val="single" w:sz="8" w:space="0" w:color="auto"/>
            </w:tcBorders>
          </w:tcPr>
          <w:p w:rsidR="009B55C2" w:rsidRPr="009B55C2" w:rsidRDefault="009B55C2" w:rsidP="009B55C2">
            <w:pPr>
              <w:spacing w:line="240" w:lineRule="auto"/>
              <w:jc w:val="both"/>
              <w:rPr>
                <w:rFonts w:cstheme="minorHAnsi"/>
                <w:bCs/>
                <w:sz w:val="24"/>
                <w:szCs w:val="24"/>
              </w:rPr>
            </w:pPr>
          </w:p>
        </w:tc>
        <w:tc>
          <w:tcPr>
            <w:tcW w:w="2906"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r w:rsidRPr="003E5C32">
              <w:rPr>
                <w:rFonts w:cstheme="minorHAnsi"/>
                <w:bCs/>
              </w:rPr>
              <w:t>derivatives thereof, of the company</w:t>
            </w:r>
          </w:p>
        </w:tc>
        <w:tc>
          <w:tcPr>
            <w:tcW w:w="6390" w:type="dxa"/>
            <w:tcBorders>
              <w:top w:val="nil"/>
              <w:left w:val="nil"/>
              <w:bottom w:val="single" w:sz="8" w:space="0" w:color="auto"/>
              <w:right w:val="single" w:sz="8" w:space="0" w:color="auto"/>
            </w:tcBorders>
          </w:tcPr>
          <w:p w:rsidR="009B55C2" w:rsidRPr="003E5C32" w:rsidRDefault="009B55C2" w:rsidP="009B55C2">
            <w:pPr>
              <w:spacing w:line="240" w:lineRule="auto"/>
              <w:jc w:val="both"/>
              <w:rPr>
                <w:rFonts w:cstheme="minorHAnsi"/>
                <w:bCs/>
              </w:rPr>
            </w:pPr>
          </w:p>
        </w:tc>
      </w:tr>
    </w:tbl>
    <w:p w:rsidR="009B55C2" w:rsidRDefault="008A1EE3" w:rsidP="009B55C2">
      <w:pPr>
        <w:spacing w:line="240" w:lineRule="auto"/>
        <w:jc w:val="both"/>
        <w:rPr>
          <w:rFonts w:cstheme="minorHAnsi"/>
          <w:b/>
          <w:bCs/>
          <w:sz w:val="24"/>
          <w:szCs w:val="24"/>
          <w:u w:val="single"/>
        </w:rPr>
      </w:pPr>
      <w:r w:rsidRPr="008A1EE3">
        <w:rPr>
          <w:rFonts w:cstheme="minorHAnsi"/>
          <w:bCs/>
          <w:sz w:val="24"/>
          <w:szCs w:val="24"/>
        </w:rPr>
        <w:pict>
          <v:rect id="_x0000_s1039" style="position:absolute;left:0;text-align:left;margin-left:-.05pt;margin-top:-278.15pt;width:1pt;height:1pt;z-index:-251664896;mso-position-horizontal-relative:text;mso-position-vertical-relative:text" o:allowincell="f" fillcolor="black" stroked="f"/>
        </w:pict>
      </w:r>
      <w:r w:rsidRPr="008A1EE3">
        <w:rPr>
          <w:rFonts w:cstheme="minorHAnsi"/>
          <w:bCs/>
          <w:sz w:val="24"/>
          <w:szCs w:val="24"/>
        </w:rPr>
        <w:pict>
          <v:rect id="_x0000_s1040" style="position:absolute;left:0;text-align:left;margin-left:40.4pt;margin-top:-278.15pt;width:1pt;height:1pt;z-index:-251663872;mso-position-horizontal-relative:text;mso-position-vertical-relative:text" o:allowincell="f" fillcolor="black" stroked="f"/>
        </w:pict>
      </w:r>
      <w:r w:rsidRPr="008A1EE3">
        <w:rPr>
          <w:rFonts w:cstheme="minorHAnsi"/>
          <w:bCs/>
          <w:sz w:val="24"/>
          <w:szCs w:val="24"/>
        </w:rPr>
        <w:pict>
          <v:rect id="_x0000_s1041" style="position:absolute;left:0;text-align:left;margin-left:202.15pt;margin-top:-278.15pt;width:1pt;height:1pt;z-index:-251662848;mso-position-horizontal-relative:text;mso-position-vertical-relative:text" o:allowincell="f" fillcolor="black" stroked="f"/>
        </w:pict>
      </w:r>
      <w:r w:rsidRPr="008A1EE3">
        <w:rPr>
          <w:rFonts w:cstheme="minorHAnsi"/>
          <w:bCs/>
          <w:sz w:val="24"/>
          <w:szCs w:val="24"/>
        </w:rPr>
        <w:pict>
          <v:rect id="_x0000_s1042" style="position:absolute;left:0;text-align:left;margin-left:-.05pt;margin-top:-89.05pt;width:1pt;height:1pt;z-index:-251661824;mso-position-horizontal-relative:text;mso-position-vertical-relative:text" o:allowincell="f" fillcolor="black" stroked="f"/>
        </w:pict>
      </w:r>
      <w:r w:rsidRPr="008A1EE3">
        <w:rPr>
          <w:rFonts w:cstheme="minorHAnsi"/>
          <w:bCs/>
          <w:sz w:val="24"/>
          <w:szCs w:val="24"/>
        </w:rPr>
        <w:pict>
          <v:rect id="_x0000_s1043" style="position:absolute;left:0;text-align:left;margin-left:40.4pt;margin-top:-89.05pt;width:1pt;height:1pt;z-index:-251660800;mso-position-horizontal-relative:text;mso-position-vertical-relative:text" o:allowincell="f" fillcolor="black" stroked="f"/>
        </w:pict>
      </w:r>
      <w:r w:rsidRPr="008A1EE3">
        <w:rPr>
          <w:rFonts w:cstheme="minorHAnsi"/>
          <w:bCs/>
          <w:sz w:val="24"/>
          <w:szCs w:val="24"/>
        </w:rPr>
        <w:pict>
          <v:rect id="_x0000_s1044" style="position:absolute;left:0;text-align:left;margin-left:202.15pt;margin-top:-89.05pt;width:1pt;height:1pt;z-index:-251659776;mso-position-horizontal-relative:text;mso-position-vertical-relative:text" o:allowincell="f" fillcolor="black" stroked="f"/>
        </w:pict>
      </w:r>
      <w:r w:rsidRPr="008A1EE3">
        <w:rPr>
          <w:rFonts w:cstheme="minorHAnsi"/>
          <w:bCs/>
          <w:sz w:val="24"/>
          <w:szCs w:val="24"/>
        </w:rPr>
        <w:pict>
          <v:rect id="_x0000_s1045" style="position:absolute;left:0;text-align:left;margin-left:-.05pt;margin-top:-38.65pt;width:1pt;height:1pt;z-index:-251658752;mso-position-horizontal-relative:text;mso-position-vertical-relative:text" o:allowincell="f" fillcolor="black" stroked="f"/>
        </w:pict>
      </w:r>
      <w:r w:rsidRPr="008A1EE3">
        <w:rPr>
          <w:rFonts w:cstheme="minorHAnsi"/>
          <w:bCs/>
          <w:sz w:val="24"/>
          <w:szCs w:val="24"/>
        </w:rPr>
        <w:pict>
          <v:rect id="_x0000_s1046" style="position:absolute;left:0;text-align:left;margin-left:40.4pt;margin-top:-38.65pt;width:1pt;height:1pt;z-index:-251657728;mso-position-horizontal-relative:text;mso-position-vertical-relative:text" o:allowincell="f" fillcolor="black" stroked="f"/>
        </w:pict>
      </w:r>
      <w:r w:rsidRPr="008A1EE3">
        <w:rPr>
          <w:rFonts w:cstheme="minorHAnsi"/>
          <w:bCs/>
          <w:sz w:val="24"/>
          <w:szCs w:val="24"/>
        </w:rPr>
        <w:pict>
          <v:rect id="_x0000_s1047" style="position:absolute;left:0;text-align:left;margin-left:202.15pt;margin-top:-38.65pt;width:1pt;height:1pt;z-index:-251656704;mso-position-horizontal-relative:text;mso-position-vertical-relative:text" o:allowincell="f" fillcolor="black" stroked="f"/>
        </w:pict>
      </w:r>
      <w:r w:rsidRPr="008A1EE3">
        <w:rPr>
          <w:rFonts w:cstheme="minorHAnsi"/>
          <w:bCs/>
          <w:sz w:val="24"/>
          <w:szCs w:val="24"/>
        </w:rPr>
        <w:pict>
          <v:rect id="_x0000_s1048" style="position:absolute;left:0;text-align:left;margin-left:-.05pt;margin-top:-.7pt;width:1pt;height:.95pt;z-index:-251655680;mso-position-horizontal-relative:text;mso-position-vertical-relative:text" o:allowincell="f" fillcolor="black" stroked="f"/>
        </w:pict>
      </w:r>
      <w:r w:rsidRPr="008A1EE3">
        <w:rPr>
          <w:rFonts w:cstheme="minorHAnsi"/>
          <w:bCs/>
          <w:sz w:val="24"/>
          <w:szCs w:val="24"/>
        </w:rPr>
        <w:pict>
          <v:rect id="_x0000_s1049" style="position:absolute;left:0;text-align:left;margin-left:-.05pt;margin-top:-.7pt;width:1pt;height:.95pt;z-index:-251654656;mso-position-horizontal-relative:text;mso-position-vertical-relative:text" o:allowincell="f" fillcolor="black" stroked="f"/>
        </w:pict>
      </w:r>
      <w:r w:rsidRPr="008A1EE3">
        <w:rPr>
          <w:rFonts w:cstheme="minorHAnsi"/>
          <w:bCs/>
          <w:sz w:val="24"/>
          <w:szCs w:val="24"/>
        </w:rPr>
        <w:pict>
          <v:rect id="_x0000_s1050" style="position:absolute;left:0;text-align:left;margin-left:40.4pt;margin-top:-.7pt;width:1pt;height:.95pt;z-index:-251653632;mso-position-horizontal-relative:text;mso-position-vertical-relative:text" o:allowincell="f" fillcolor="black" stroked="f"/>
        </w:pict>
      </w:r>
      <w:r w:rsidRPr="008A1EE3">
        <w:rPr>
          <w:rFonts w:cstheme="minorHAnsi"/>
          <w:bCs/>
          <w:sz w:val="24"/>
          <w:szCs w:val="24"/>
        </w:rPr>
        <w:pict>
          <v:rect id="_x0000_s1051" style="position:absolute;left:0;text-align:left;margin-left:202.15pt;margin-top:-.7pt;width:1pt;height:.95pt;z-index:-251652608;mso-position-horizontal-relative:text;mso-position-vertical-relative:text" o:allowincell="f" fillcolor="black" stroked="f"/>
        </w:pict>
      </w:r>
    </w:p>
    <w:p w:rsidR="003E5C32" w:rsidRPr="003E5C32" w:rsidRDefault="000835E5" w:rsidP="009B55C2">
      <w:pPr>
        <w:spacing w:line="240" w:lineRule="auto"/>
        <w:jc w:val="both"/>
        <w:rPr>
          <w:rFonts w:cstheme="minorHAnsi"/>
          <w:b/>
          <w:bCs/>
          <w:i/>
          <w:sz w:val="26"/>
          <w:szCs w:val="26"/>
          <w:u w:val="single"/>
        </w:rPr>
      </w:pPr>
      <w:r>
        <w:rPr>
          <w:rFonts w:cstheme="minorHAnsi"/>
          <w:b/>
          <w:bCs/>
          <w:i/>
          <w:sz w:val="26"/>
          <w:szCs w:val="26"/>
        </w:rPr>
        <w:t>5</w:t>
      </w:r>
      <w:r w:rsidR="0005586E" w:rsidRPr="0005586E">
        <w:rPr>
          <w:rFonts w:cstheme="minorHAnsi"/>
          <w:b/>
          <w:bCs/>
          <w:i/>
          <w:sz w:val="26"/>
          <w:szCs w:val="26"/>
        </w:rPr>
        <w:t>.</w:t>
      </w:r>
      <w:r w:rsidR="0005586E">
        <w:rPr>
          <w:rFonts w:cstheme="minorHAnsi"/>
          <w:b/>
          <w:bCs/>
          <w:i/>
          <w:sz w:val="26"/>
          <w:szCs w:val="26"/>
          <w:u w:val="single"/>
        </w:rPr>
        <w:t xml:space="preserve"> Manner of dealing with the r</w:t>
      </w:r>
      <w:r w:rsidR="0005586E" w:rsidRPr="003E5C32">
        <w:rPr>
          <w:rFonts w:cstheme="minorHAnsi"/>
          <w:b/>
          <w:bCs/>
          <w:i/>
          <w:sz w:val="26"/>
          <w:szCs w:val="26"/>
          <w:u w:val="single"/>
        </w:rPr>
        <w:t>elated Party Transactions</w:t>
      </w:r>
    </w:p>
    <w:p w:rsidR="005F0496" w:rsidRPr="003E5C32" w:rsidRDefault="005F0496" w:rsidP="009B55C2">
      <w:pPr>
        <w:spacing w:line="240" w:lineRule="auto"/>
        <w:jc w:val="both"/>
        <w:rPr>
          <w:rFonts w:cstheme="minorHAnsi"/>
          <w:b/>
          <w:bCs/>
          <w:i/>
          <w:sz w:val="24"/>
          <w:szCs w:val="24"/>
        </w:rPr>
      </w:pPr>
      <w:r w:rsidRPr="003E5C32">
        <w:rPr>
          <w:rFonts w:cstheme="minorHAnsi"/>
          <w:b/>
          <w:bCs/>
          <w:i/>
          <w:sz w:val="24"/>
          <w:szCs w:val="24"/>
        </w:rPr>
        <w:t xml:space="preserve">Identification of related parties &amp; transactions </w:t>
      </w:r>
    </w:p>
    <w:p w:rsidR="005F0496" w:rsidRPr="003E5C32" w:rsidRDefault="00F469DD" w:rsidP="009B55C2">
      <w:pPr>
        <w:spacing w:line="240" w:lineRule="auto"/>
        <w:jc w:val="both"/>
        <w:rPr>
          <w:rFonts w:cstheme="minorHAnsi"/>
          <w:b/>
          <w:bCs/>
        </w:rPr>
      </w:pPr>
      <w:r w:rsidRPr="003E5C32">
        <w:rPr>
          <w:rFonts w:cstheme="minorHAnsi"/>
          <w:bCs/>
        </w:rPr>
        <w:t xml:space="preserve">The company </w:t>
      </w:r>
      <w:r w:rsidR="005F0496" w:rsidRPr="003E5C32">
        <w:rPr>
          <w:rFonts w:cstheme="minorHAnsi"/>
          <w:bCs/>
        </w:rPr>
        <w:t xml:space="preserve">shall identify and update the list of related parties as prescribed under Section 2(76) of the Act read with the Rules framed there under and </w:t>
      </w:r>
      <w:r w:rsidR="002E3AF8" w:rsidRPr="002E3AF8">
        <w:rPr>
          <w:rFonts w:cstheme="minorHAnsi"/>
          <w:bCs/>
        </w:rPr>
        <w:t xml:space="preserve">Under </w:t>
      </w:r>
      <w:r w:rsidR="002E3AF8" w:rsidRPr="002E3AF8">
        <w:rPr>
          <w:rFonts w:cstheme="minorHAnsi"/>
          <w:bCs/>
          <w:lang w:val="en-IN"/>
        </w:rPr>
        <w:t>Regulation 23(1) of the SEBI (Listing Obligation and Disclosure Requirements) Regulations 2015</w:t>
      </w:r>
      <w:r w:rsidR="002E3AF8" w:rsidRPr="002E3AF8">
        <w:rPr>
          <w:rFonts w:cstheme="minorHAnsi"/>
          <w:bCs/>
        </w:rPr>
        <w:t>.</w:t>
      </w:r>
    </w:p>
    <w:p w:rsidR="005F0496" w:rsidRPr="003E5C32" w:rsidRDefault="00F469DD" w:rsidP="009B55C2">
      <w:pPr>
        <w:spacing w:line="240" w:lineRule="auto"/>
        <w:jc w:val="both"/>
        <w:rPr>
          <w:rFonts w:cstheme="minorHAnsi"/>
          <w:bCs/>
        </w:rPr>
      </w:pPr>
      <w:r w:rsidRPr="003E5C32">
        <w:rPr>
          <w:rFonts w:cstheme="minorHAnsi"/>
          <w:bCs/>
        </w:rPr>
        <w:t xml:space="preserve">The company </w:t>
      </w:r>
      <w:r w:rsidR="005F0496" w:rsidRPr="003E5C32">
        <w:rPr>
          <w:rFonts w:cstheme="minorHAnsi"/>
          <w:bCs/>
        </w:rPr>
        <w:t xml:space="preserve">shall identify the related party transactions in accordance with Section 188 of the Act and </w:t>
      </w:r>
      <w:r w:rsidR="001B4C7D" w:rsidRPr="001B4C7D">
        <w:rPr>
          <w:rFonts w:cstheme="minorHAnsi"/>
          <w:bCs/>
        </w:rPr>
        <w:t xml:space="preserve">Under </w:t>
      </w:r>
      <w:r w:rsidR="001B4C7D" w:rsidRPr="001B4C7D">
        <w:rPr>
          <w:rFonts w:cstheme="minorHAnsi"/>
          <w:bCs/>
          <w:lang w:val="en-IN"/>
        </w:rPr>
        <w:t>Regulation 23(1) of the SEBI (Listing Obligation and Disclosure Requirements) Regulations 2015</w:t>
      </w:r>
      <w:r w:rsidR="005F0496" w:rsidRPr="001B4C7D">
        <w:rPr>
          <w:rFonts w:cstheme="minorHAnsi"/>
          <w:bCs/>
        </w:rPr>
        <w:t>.</w:t>
      </w:r>
      <w:r w:rsidR="005F0496" w:rsidRPr="003E5C32">
        <w:rPr>
          <w:rFonts w:cstheme="minorHAnsi"/>
          <w:bCs/>
        </w:rPr>
        <w:t xml:space="preserve"> </w:t>
      </w:r>
      <w:r w:rsidRPr="003E5C32">
        <w:rPr>
          <w:rFonts w:cstheme="minorHAnsi"/>
          <w:bCs/>
        </w:rPr>
        <w:t>The company</w:t>
      </w:r>
      <w:r w:rsidR="005F0496" w:rsidRPr="003E5C32">
        <w:rPr>
          <w:rFonts w:cstheme="minorHAnsi"/>
          <w:bCs/>
        </w:rPr>
        <w:t xml:space="preserve"> shall also </w:t>
      </w:r>
      <w:r w:rsidR="00984665" w:rsidRPr="003E5C32">
        <w:rPr>
          <w:rFonts w:cstheme="minorHAnsi"/>
          <w:bCs/>
        </w:rPr>
        <w:t>determine</w:t>
      </w:r>
      <w:r w:rsidR="005F0496" w:rsidRPr="003E5C32">
        <w:rPr>
          <w:rFonts w:cstheme="minorHAnsi"/>
          <w:bCs/>
        </w:rPr>
        <w:t xml:space="preserve"> whether the transaction is in the ordinary course of business and at arm’s length basis and for this purpose, the Company seeks external professional opinion, if necessary. </w:t>
      </w:r>
    </w:p>
    <w:p w:rsidR="005F0496" w:rsidRPr="003E5C32" w:rsidRDefault="005F0496" w:rsidP="009B55C2">
      <w:pPr>
        <w:spacing w:line="240" w:lineRule="auto"/>
        <w:jc w:val="both"/>
        <w:rPr>
          <w:rFonts w:cstheme="minorHAnsi"/>
          <w:bCs/>
          <w:i/>
          <w:sz w:val="24"/>
          <w:szCs w:val="24"/>
        </w:rPr>
      </w:pPr>
      <w:r w:rsidRPr="009B55C2">
        <w:rPr>
          <w:rFonts w:cstheme="minorHAnsi"/>
          <w:b/>
          <w:bCs/>
          <w:sz w:val="24"/>
          <w:szCs w:val="24"/>
        </w:rPr>
        <w:t xml:space="preserve"> </w:t>
      </w:r>
      <w:r w:rsidRPr="003E5C32">
        <w:rPr>
          <w:rFonts w:cstheme="minorHAnsi"/>
          <w:b/>
          <w:bCs/>
          <w:i/>
          <w:sz w:val="24"/>
          <w:szCs w:val="24"/>
        </w:rPr>
        <w:t>Procedure for approval of related party transactions</w:t>
      </w:r>
    </w:p>
    <w:p w:rsidR="005F0496" w:rsidRPr="003E5C32" w:rsidRDefault="005F0496" w:rsidP="009B55C2">
      <w:pPr>
        <w:spacing w:line="240" w:lineRule="auto"/>
        <w:jc w:val="both"/>
        <w:rPr>
          <w:rFonts w:cstheme="minorHAnsi"/>
          <w:bCs/>
          <w:i/>
          <w:sz w:val="26"/>
          <w:szCs w:val="26"/>
        </w:rPr>
      </w:pPr>
      <w:proofErr w:type="spellStart"/>
      <w:r w:rsidRPr="003E5C32">
        <w:rPr>
          <w:rFonts w:cstheme="minorHAnsi"/>
          <w:b/>
          <w:bCs/>
          <w:i/>
          <w:sz w:val="26"/>
          <w:szCs w:val="26"/>
        </w:rPr>
        <w:t>i</w:t>
      </w:r>
      <w:proofErr w:type="spellEnd"/>
      <w:r w:rsidR="000835E5">
        <w:rPr>
          <w:rFonts w:cstheme="minorHAnsi"/>
          <w:b/>
          <w:bCs/>
          <w:i/>
          <w:sz w:val="26"/>
          <w:szCs w:val="26"/>
        </w:rPr>
        <w:t>.</w:t>
      </w:r>
      <w:r w:rsidRPr="003E5C32">
        <w:rPr>
          <w:rFonts w:cstheme="minorHAnsi"/>
          <w:b/>
          <w:bCs/>
          <w:i/>
          <w:sz w:val="26"/>
          <w:szCs w:val="26"/>
        </w:rPr>
        <w:t xml:space="preserve"> </w:t>
      </w:r>
      <w:r w:rsidRPr="003E5C32">
        <w:rPr>
          <w:rFonts w:cstheme="minorHAnsi"/>
          <w:b/>
          <w:bCs/>
          <w:i/>
          <w:sz w:val="26"/>
          <w:szCs w:val="26"/>
          <w:u w:val="single"/>
        </w:rPr>
        <w:t>Audit Committee's Approval</w:t>
      </w:r>
      <w:r w:rsidR="000835E5">
        <w:rPr>
          <w:rFonts w:cstheme="minorHAnsi"/>
          <w:b/>
          <w:bCs/>
          <w:i/>
          <w:sz w:val="26"/>
          <w:szCs w:val="26"/>
          <w:u w:val="single"/>
        </w:rPr>
        <w:t>:</w:t>
      </w:r>
    </w:p>
    <w:p w:rsidR="005F0496" w:rsidRPr="003E5C32" w:rsidRDefault="005F0496" w:rsidP="009B55C2">
      <w:pPr>
        <w:spacing w:line="240" w:lineRule="auto"/>
        <w:jc w:val="both"/>
        <w:rPr>
          <w:rFonts w:cstheme="minorHAnsi"/>
          <w:bCs/>
        </w:rPr>
      </w:pPr>
      <w:r w:rsidRPr="003E5C32">
        <w:rPr>
          <w:rFonts w:cstheme="minorHAnsi"/>
          <w:bCs/>
        </w:rPr>
        <w:t>All Related Party Transactions and any subsequent modifications thereto, shall require the prior approval of the Audit Committee.</w:t>
      </w:r>
    </w:p>
    <w:p w:rsidR="005F0496" w:rsidRPr="003E5C32" w:rsidRDefault="005F0496" w:rsidP="009B55C2">
      <w:pPr>
        <w:spacing w:line="240" w:lineRule="auto"/>
        <w:jc w:val="both"/>
        <w:rPr>
          <w:rFonts w:cstheme="minorHAnsi"/>
          <w:bCs/>
        </w:rPr>
      </w:pPr>
      <w:r w:rsidRPr="003E5C32">
        <w:rPr>
          <w:rFonts w:cstheme="minorHAnsi"/>
          <w:bCs/>
        </w:rPr>
        <w:t>However, the Audit Committee may grant omnibus approval for Related Party Transactions proposed to be entered into by the company subject to the following conditions:</w:t>
      </w:r>
    </w:p>
    <w:p w:rsidR="005F0496" w:rsidRPr="003E5C32" w:rsidRDefault="005F0496" w:rsidP="009B55C2">
      <w:pPr>
        <w:numPr>
          <w:ilvl w:val="0"/>
          <w:numId w:val="23"/>
        </w:numPr>
        <w:tabs>
          <w:tab w:val="num" w:pos="1140"/>
          <w:tab w:val="num" w:pos="1260"/>
        </w:tabs>
        <w:spacing w:line="240" w:lineRule="auto"/>
        <w:jc w:val="both"/>
        <w:rPr>
          <w:rFonts w:cstheme="minorHAnsi"/>
          <w:bCs/>
        </w:rPr>
      </w:pPr>
      <w:r w:rsidRPr="003E5C32">
        <w:rPr>
          <w:rFonts w:cstheme="minorHAnsi"/>
          <w:bCs/>
        </w:rPr>
        <w:lastRenderedPageBreak/>
        <w:t xml:space="preserve">The Audit Committee shall lay down the criteria for granting the omnibus approval in line with this Policy and such approval shall be applicable in respect of transactions which are repetitive in nature. </w:t>
      </w:r>
    </w:p>
    <w:p w:rsidR="005F0496" w:rsidRPr="003E5C32" w:rsidRDefault="005F0496" w:rsidP="009B55C2">
      <w:pPr>
        <w:numPr>
          <w:ilvl w:val="0"/>
          <w:numId w:val="24"/>
        </w:numPr>
        <w:spacing w:line="240" w:lineRule="auto"/>
        <w:jc w:val="both"/>
        <w:rPr>
          <w:rFonts w:cstheme="minorHAnsi"/>
          <w:bCs/>
        </w:rPr>
      </w:pPr>
      <w:r w:rsidRPr="003E5C32">
        <w:rPr>
          <w:rFonts w:cstheme="minorHAnsi"/>
          <w:bCs/>
        </w:rPr>
        <w:t xml:space="preserve">The Audit Committee shall satisfy itself the need for such omnibus approval and that such approval is in the interest of the Company; </w:t>
      </w:r>
    </w:p>
    <w:p w:rsidR="005F0496" w:rsidRPr="003E5C32" w:rsidRDefault="005F0496" w:rsidP="009B55C2">
      <w:pPr>
        <w:numPr>
          <w:ilvl w:val="0"/>
          <w:numId w:val="25"/>
        </w:numPr>
        <w:spacing w:line="240" w:lineRule="auto"/>
        <w:jc w:val="both"/>
        <w:rPr>
          <w:rFonts w:cstheme="minorHAnsi"/>
          <w:bCs/>
        </w:rPr>
      </w:pPr>
      <w:r w:rsidRPr="003E5C32">
        <w:rPr>
          <w:rFonts w:cstheme="minorHAnsi"/>
          <w:bCs/>
        </w:rPr>
        <w:t>Such omnibus approval shall specify (</w:t>
      </w:r>
      <w:proofErr w:type="spellStart"/>
      <w:r w:rsidRPr="003E5C32">
        <w:rPr>
          <w:rFonts w:cstheme="minorHAnsi"/>
          <w:bCs/>
        </w:rPr>
        <w:t>i</w:t>
      </w:r>
      <w:proofErr w:type="spellEnd"/>
      <w:r w:rsidRPr="003E5C32">
        <w:rPr>
          <w:rFonts w:cstheme="minorHAnsi"/>
          <w:bCs/>
        </w:rPr>
        <w:t xml:space="preserve">) the name/s of the related party, nature of the transaction, period of transaction, maximum amount of transaction that can be entered into, (ii) the indicative base price / current contracted price and the formula for variation in the price if any and (iii) such other conditions as the Audit Committee may deem fit; </w:t>
      </w:r>
    </w:p>
    <w:p w:rsidR="005F0496" w:rsidRPr="003E5C32" w:rsidRDefault="005F0496" w:rsidP="009B55C2">
      <w:pPr>
        <w:numPr>
          <w:ilvl w:val="0"/>
          <w:numId w:val="26"/>
        </w:numPr>
        <w:spacing w:line="240" w:lineRule="auto"/>
        <w:jc w:val="both"/>
        <w:rPr>
          <w:rFonts w:cstheme="minorHAnsi"/>
          <w:bCs/>
        </w:rPr>
      </w:pPr>
      <w:r w:rsidRPr="003E5C32">
        <w:rPr>
          <w:rFonts w:cstheme="minorHAnsi"/>
          <w:bCs/>
        </w:rPr>
        <w:t xml:space="preserve">Provided that where the need for Related Party Transactions cannot be foreseen and aforesaid details are not available, Audit Committee may grant omnibus approval for such transactions subject to their value not exceeding Rs.1 </w:t>
      </w:r>
      <w:proofErr w:type="spellStart"/>
      <w:r w:rsidRPr="003E5C32">
        <w:rPr>
          <w:rFonts w:cstheme="minorHAnsi"/>
          <w:bCs/>
        </w:rPr>
        <w:t>crore</w:t>
      </w:r>
      <w:proofErr w:type="spellEnd"/>
      <w:r w:rsidRPr="003E5C32">
        <w:rPr>
          <w:rFonts w:cstheme="minorHAnsi"/>
          <w:bCs/>
        </w:rPr>
        <w:t xml:space="preserve"> per transaction. </w:t>
      </w:r>
    </w:p>
    <w:p w:rsidR="005F0496" w:rsidRPr="003E5C32" w:rsidRDefault="005F0496" w:rsidP="009B55C2">
      <w:pPr>
        <w:numPr>
          <w:ilvl w:val="0"/>
          <w:numId w:val="27"/>
        </w:numPr>
        <w:spacing w:line="240" w:lineRule="auto"/>
        <w:jc w:val="both"/>
        <w:rPr>
          <w:rFonts w:cstheme="minorHAnsi"/>
          <w:bCs/>
        </w:rPr>
      </w:pPr>
      <w:r w:rsidRPr="003E5C32">
        <w:rPr>
          <w:rFonts w:cstheme="minorHAnsi"/>
          <w:bCs/>
        </w:rPr>
        <w:t>The Audit Committee shall review, at least on a quarterly basis, the details of the Related Party Transactions entered into by the Company pursuant to each of the omnibus approval given.</w:t>
      </w:r>
    </w:p>
    <w:p w:rsidR="005F0496" w:rsidRPr="003E5C32" w:rsidRDefault="005F0496" w:rsidP="009B55C2">
      <w:pPr>
        <w:numPr>
          <w:ilvl w:val="1"/>
          <w:numId w:val="28"/>
        </w:numPr>
        <w:tabs>
          <w:tab w:val="clear" w:pos="1440"/>
          <w:tab w:val="num" w:pos="420"/>
        </w:tabs>
        <w:spacing w:line="240" w:lineRule="auto"/>
        <w:ind w:left="720"/>
        <w:jc w:val="both"/>
        <w:rPr>
          <w:rFonts w:cstheme="minorHAnsi"/>
          <w:bCs/>
        </w:rPr>
      </w:pPr>
      <w:r w:rsidRPr="003E5C32">
        <w:rPr>
          <w:rFonts w:cstheme="minorHAnsi"/>
          <w:bCs/>
        </w:rPr>
        <w:t xml:space="preserve">Such omnibus approvals shall be valid for a period not exceeding one year and </w:t>
      </w:r>
      <w:r w:rsidR="001D6F99" w:rsidRPr="003E5C32">
        <w:rPr>
          <w:rFonts w:cstheme="minorHAnsi"/>
          <w:bCs/>
        </w:rPr>
        <w:t>shall require</w:t>
      </w:r>
      <w:r w:rsidRPr="003E5C32">
        <w:rPr>
          <w:rFonts w:cstheme="minorHAnsi"/>
          <w:bCs/>
        </w:rPr>
        <w:t xml:space="preserve"> fresh approvals after the expiry of one year. </w:t>
      </w:r>
    </w:p>
    <w:p w:rsidR="005F0496" w:rsidRPr="003E5C32" w:rsidRDefault="00BA1B8F" w:rsidP="009B55C2">
      <w:pPr>
        <w:spacing w:line="240" w:lineRule="auto"/>
        <w:jc w:val="both"/>
        <w:rPr>
          <w:rFonts w:cstheme="minorHAnsi"/>
          <w:b/>
          <w:bCs/>
          <w:i/>
          <w:sz w:val="24"/>
          <w:szCs w:val="24"/>
        </w:rPr>
      </w:pPr>
      <w:r>
        <w:rPr>
          <w:rFonts w:cstheme="minorHAnsi"/>
          <w:b/>
          <w:bCs/>
          <w:i/>
          <w:sz w:val="24"/>
          <w:szCs w:val="24"/>
        </w:rPr>
        <w:t>ii</w:t>
      </w:r>
      <w:proofErr w:type="gramStart"/>
      <w:r>
        <w:rPr>
          <w:rFonts w:cstheme="minorHAnsi"/>
          <w:b/>
          <w:bCs/>
          <w:i/>
          <w:sz w:val="24"/>
          <w:szCs w:val="24"/>
        </w:rPr>
        <w:t>.</w:t>
      </w:r>
      <w:r w:rsidR="00207EFF" w:rsidRPr="003E5C32">
        <w:rPr>
          <w:rFonts w:cstheme="minorHAnsi"/>
          <w:b/>
          <w:bCs/>
          <w:i/>
          <w:sz w:val="24"/>
          <w:szCs w:val="24"/>
        </w:rPr>
        <w:t xml:space="preserve">  </w:t>
      </w:r>
      <w:r w:rsidR="005F0496" w:rsidRPr="003E5C32">
        <w:rPr>
          <w:rFonts w:cstheme="minorHAnsi"/>
          <w:b/>
          <w:bCs/>
          <w:i/>
          <w:sz w:val="24"/>
          <w:szCs w:val="24"/>
        </w:rPr>
        <w:t>Board</w:t>
      </w:r>
      <w:proofErr w:type="gramEnd"/>
      <w:r w:rsidR="005F0496" w:rsidRPr="003E5C32">
        <w:rPr>
          <w:rFonts w:cstheme="minorHAnsi"/>
          <w:b/>
          <w:bCs/>
          <w:i/>
          <w:sz w:val="24"/>
          <w:szCs w:val="24"/>
        </w:rPr>
        <w:t xml:space="preserve"> of Directors' approval </w:t>
      </w:r>
    </w:p>
    <w:p w:rsidR="005F0496" w:rsidRPr="003E5C32" w:rsidRDefault="005F0496" w:rsidP="009B55C2">
      <w:pPr>
        <w:spacing w:line="240" w:lineRule="auto"/>
        <w:jc w:val="both"/>
        <w:rPr>
          <w:rFonts w:cstheme="minorHAnsi"/>
          <w:bCs/>
        </w:rPr>
      </w:pPr>
      <w:r w:rsidRPr="003E5C32">
        <w:rPr>
          <w:rFonts w:cstheme="minorHAnsi"/>
          <w:bCs/>
        </w:rPr>
        <w:t>All Related Party Transactions that are:</w:t>
      </w:r>
    </w:p>
    <w:p w:rsidR="005F0496" w:rsidRPr="003E5C32" w:rsidRDefault="005F0496" w:rsidP="009B55C2">
      <w:pPr>
        <w:numPr>
          <w:ilvl w:val="0"/>
          <w:numId w:val="30"/>
        </w:numPr>
        <w:spacing w:line="240" w:lineRule="auto"/>
        <w:jc w:val="both"/>
        <w:rPr>
          <w:rFonts w:cstheme="minorHAnsi"/>
          <w:bCs/>
        </w:rPr>
      </w:pPr>
      <w:r w:rsidRPr="003E5C32">
        <w:rPr>
          <w:rFonts w:cstheme="minorHAnsi"/>
          <w:bCs/>
        </w:rPr>
        <w:t xml:space="preserve">not in the ordinary course of business, or </w:t>
      </w:r>
    </w:p>
    <w:p w:rsidR="005F0496" w:rsidRPr="003E5C32" w:rsidRDefault="005F0496" w:rsidP="009B55C2">
      <w:pPr>
        <w:numPr>
          <w:ilvl w:val="0"/>
          <w:numId w:val="30"/>
        </w:numPr>
        <w:spacing w:line="240" w:lineRule="auto"/>
        <w:jc w:val="both"/>
        <w:rPr>
          <w:rFonts w:cstheme="minorHAnsi"/>
          <w:bCs/>
        </w:rPr>
      </w:pPr>
      <w:r w:rsidRPr="003E5C32">
        <w:rPr>
          <w:rFonts w:cstheme="minorHAnsi"/>
          <w:bCs/>
        </w:rPr>
        <w:t xml:space="preserve">in the ordinary course of business but not at arms’ length or </w:t>
      </w:r>
    </w:p>
    <w:p w:rsidR="005F0496" w:rsidRPr="003E5C32" w:rsidRDefault="005F0496" w:rsidP="009B55C2">
      <w:pPr>
        <w:numPr>
          <w:ilvl w:val="0"/>
          <w:numId w:val="30"/>
        </w:numPr>
        <w:spacing w:line="240" w:lineRule="auto"/>
        <w:jc w:val="both"/>
        <w:rPr>
          <w:rFonts w:cstheme="minorHAnsi"/>
          <w:bCs/>
        </w:rPr>
      </w:pPr>
      <w:r w:rsidRPr="003E5C32">
        <w:rPr>
          <w:rFonts w:cstheme="minorHAnsi"/>
          <w:bCs/>
        </w:rPr>
        <w:t xml:space="preserve">neither in the ordinary course of business nor at arms’ length </w:t>
      </w:r>
    </w:p>
    <w:p w:rsidR="005F0496" w:rsidRPr="003E5C32" w:rsidRDefault="005F0496" w:rsidP="009B55C2">
      <w:pPr>
        <w:spacing w:line="240" w:lineRule="auto"/>
        <w:jc w:val="both"/>
        <w:rPr>
          <w:rFonts w:cstheme="minorHAnsi"/>
          <w:bCs/>
        </w:rPr>
      </w:pPr>
      <w:proofErr w:type="gramStart"/>
      <w:r w:rsidRPr="003E5C32">
        <w:rPr>
          <w:rFonts w:cstheme="minorHAnsi"/>
          <w:bCs/>
        </w:rPr>
        <w:t>shall</w:t>
      </w:r>
      <w:proofErr w:type="gramEnd"/>
      <w:r w:rsidRPr="003E5C32">
        <w:rPr>
          <w:rFonts w:cstheme="minorHAnsi"/>
          <w:bCs/>
        </w:rPr>
        <w:t xml:space="preserve"> require the prior approval of the Board of Directors at a Meeting of the Board.</w:t>
      </w:r>
    </w:p>
    <w:p w:rsidR="005F0496" w:rsidRPr="003E5C32" w:rsidRDefault="005F0496" w:rsidP="009B55C2">
      <w:pPr>
        <w:spacing w:line="240" w:lineRule="auto"/>
        <w:jc w:val="both"/>
        <w:rPr>
          <w:rFonts w:cstheme="minorHAnsi"/>
          <w:bCs/>
          <w:i/>
          <w:sz w:val="24"/>
          <w:szCs w:val="24"/>
        </w:rPr>
      </w:pPr>
      <w:r w:rsidRPr="003E5C32">
        <w:rPr>
          <w:rFonts w:cstheme="minorHAnsi"/>
          <w:b/>
          <w:bCs/>
          <w:i/>
          <w:sz w:val="24"/>
          <w:szCs w:val="24"/>
        </w:rPr>
        <w:t>ii</w:t>
      </w:r>
      <w:r w:rsidR="00BA1B8F">
        <w:rPr>
          <w:rFonts w:cstheme="minorHAnsi"/>
          <w:b/>
          <w:bCs/>
          <w:i/>
          <w:sz w:val="24"/>
          <w:szCs w:val="24"/>
        </w:rPr>
        <w:t>i.</w:t>
      </w:r>
      <w:r w:rsidRPr="003E5C32">
        <w:rPr>
          <w:rFonts w:cstheme="minorHAnsi"/>
          <w:b/>
          <w:bCs/>
          <w:i/>
          <w:sz w:val="24"/>
          <w:szCs w:val="24"/>
        </w:rPr>
        <w:t xml:space="preserve"> Shareholders’ approval</w:t>
      </w:r>
    </w:p>
    <w:p w:rsidR="005F0496" w:rsidRPr="003E5C32" w:rsidRDefault="005F0496" w:rsidP="009B55C2">
      <w:pPr>
        <w:spacing w:line="240" w:lineRule="auto"/>
        <w:jc w:val="both"/>
        <w:rPr>
          <w:rFonts w:cstheme="minorHAnsi"/>
          <w:bCs/>
        </w:rPr>
      </w:pPr>
      <w:r w:rsidRPr="003E5C32">
        <w:rPr>
          <w:rFonts w:cstheme="minorHAnsi"/>
          <w:bCs/>
        </w:rPr>
        <w:t xml:space="preserve">All the transactions with related parties exceeding the materiality thresholds as laid down in Clause 5 of the </w:t>
      </w:r>
      <w:proofErr w:type="gramStart"/>
      <w:r w:rsidRPr="003E5C32">
        <w:rPr>
          <w:rFonts w:cstheme="minorHAnsi"/>
          <w:bCs/>
        </w:rPr>
        <w:t>Policy,</w:t>
      </w:r>
      <w:proofErr w:type="gramEnd"/>
      <w:r w:rsidRPr="003E5C32">
        <w:rPr>
          <w:rFonts w:cstheme="minorHAnsi"/>
          <w:bCs/>
        </w:rPr>
        <w:t xml:space="preserve"> are placed before the shareholders for approval.</w:t>
      </w:r>
    </w:p>
    <w:p w:rsidR="005F0496" w:rsidRPr="003E5C32" w:rsidRDefault="005F0496" w:rsidP="009B55C2">
      <w:pPr>
        <w:spacing w:line="240" w:lineRule="auto"/>
        <w:jc w:val="both"/>
        <w:rPr>
          <w:rFonts w:cstheme="minorHAnsi"/>
          <w:bCs/>
        </w:rPr>
      </w:pPr>
      <w:r w:rsidRPr="003E5C32">
        <w:rPr>
          <w:rFonts w:cstheme="minorHAnsi"/>
          <w:bCs/>
        </w:rPr>
        <w:t>For this purpose, all entities falling under the definition of related parties shall abstain from voting irrespective of whether the entity is a party to the particular transaction or not.</w:t>
      </w:r>
    </w:p>
    <w:p w:rsidR="005F0496" w:rsidRPr="003E5C32" w:rsidRDefault="00BA1B8F" w:rsidP="009B55C2">
      <w:pPr>
        <w:spacing w:line="240" w:lineRule="auto"/>
        <w:jc w:val="both"/>
        <w:rPr>
          <w:rFonts w:cstheme="minorHAnsi"/>
          <w:b/>
          <w:bCs/>
          <w:i/>
          <w:sz w:val="26"/>
          <w:szCs w:val="26"/>
          <w:u w:val="single"/>
        </w:rPr>
      </w:pPr>
      <w:r>
        <w:rPr>
          <w:rFonts w:cstheme="minorHAnsi"/>
          <w:b/>
          <w:bCs/>
          <w:i/>
          <w:sz w:val="26"/>
          <w:szCs w:val="26"/>
        </w:rPr>
        <w:t>6</w:t>
      </w:r>
      <w:r w:rsidR="0005586E" w:rsidRPr="0005586E">
        <w:rPr>
          <w:rFonts w:cstheme="minorHAnsi"/>
          <w:b/>
          <w:bCs/>
          <w:i/>
          <w:sz w:val="26"/>
          <w:szCs w:val="26"/>
        </w:rPr>
        <w:t>.</w:t>
      </w:r>
      <w:r w:rsidR="0005586E">
        <w:rPr>
          <w:rFonts w:cstheme="minorHAnsi"/>
          <w:b/>
          <w:bCs/>
          <w:i/>
          <w:sz w:val="26"/>
          <w:szCs w:val="26"/>
          <w:u w:val="single"/>
        </w:rPr>
        <w:t xml:space="preserve"> Related Party Transactions not approved under t</w:t>
      </w:r>
      <w:r w:rsidR="0005586E" w:rsidRPr="003E5C32">
        <w:rPr>
          <w:rFonts w:cstheme="minorHAnsi"/>
          <w:b/>
          <w:bCs/>
          <w:i/>
          <w:sz w:val="26"/>
          <w:szCs w:val="26"/>
          <w:u w:val="single"/>
        </w:rPr>
        <w:t>his Policy</w:t>
      </w:r>
      <w:r>
        <w:rPr>
          <w:rFonts w:cstheme="minorHAnsi"/>
          <w:b/>
          <w:bCs/>
          <w:i/>
          <w:sz w:val="26"/>
          <w:szCs w:val="26"/>
          <w:u w:val="single"/>
        </w:rPr>
        <w:t>:</w:t>
      </w:r>
    </w:p>
    <w:p w:rsidR="005F0496" w:rsidRPr="003E5C32" w:rsidRDefault="005F0496" w:rsidP="009B55C2">
      <w:pPr>
        <w:spacing w:line="240" w:lineRule="auto"/>
        <w:jc w:val="both"/>
        <w:rPr>
          <w:rFonts w:cstheme="minorHAnsi"/>
          <w:b/>
          <w:bCs/>
        </w:rPr>
      </w:pPr>
      <w:r w:rsidRPr="003E5C32">
        <w:rPr>
          <w:rFonts w:cstheme="minorHAnsi"/>
          <w:bCs/>
        </w:rPr>
        <w:t xml:space="preserve">In the event the Company becomes aware of a Related Party Transaction that has not been approved under this Policy prior to its consummation, the same shall be reviewed by the Audit Committee / Board as follows: </w:t>
      </w:r>
    </w:p>
    <w:p w:rsidR="005F0496" w:rsidRPr="003E5C32" w:rsidRDefault="005F0496" w:rsidP="009B55C2">
      <w:pPr>
        <w:spacing w:line="240" w:lineRule="auto"/>
        <w:jc w:val="both"/>
        <w:rPr>
          <w:rFonts w:cstheme="minorHAnsi"/>
          <w:b/>
          <w:bCs/>
        </w:rPr>
      </w:pPr>
      <w:r w:rsidRPr="003E5C32">
        <w:rPr>
          <w:rFonts w:cstheme="minorHAnsi"/>
          <w:bCs/>
        </w:rPr>
        <w:t xml:space="preserve">The Audit Committee or Board or Shareholders, as the case may be, will consider all the relevant facts and circumstances regarding the Related Party Transaction, and evaluate all options available to the Company, including ratification within 3 months of the date of the contract or arrangement, whether ratification should be allowed and if ratified whether it would be beneficial or detrimental to the </w:t>
      </w:r>
      <w:r w:rsidRPr="003E5C32">
        <w:rPr>
          <w:rFonts w:cstheme="minorHAnsi"/>
          <w:bCs/>
        </w:rPr>
        <w:lastRenderedPageBreak/>
        <w:t xml:space="preserve">Company, revision or termination of the Related Party Transaction including the facts and circumstances of failure to obtain approval / report such Related Party Transaction to the Audit Committee or the Board or Shareholders under this Policy and take such action as deemed appropriate. In case, such contract or arrangement is not so ratified, such contract or arrangement shall be voidable at the option of the Board. The Audit Committee shall also examine the facts and circumstances pertaining to the failure of reporting such related party transaction to the Audit Committee under this Policy and failure of the internal control systems, and shall take any such action it deems appropriate. </w:t>
      </w:r>
    </w:p>
    <w:p w:rsidR="005F0496" w:rsidRPr="003E5C32" w:rsidRDefault="005F0496" w:rsidP="009B55C2">
      <w:pPr>
        <w:spacing w:line="240" w:lineRule="auto"/>
        <w:jc w:val="both"/>
        <w:rPr>
          <w:rFonts w:cstheme="minorHAnsi"/>
          <w:b/>
          <w:bCs/>
        </w:rPr>
      </w:pPr>
      <w:r w:rsidRPr="003E5C32">
        <w:rPr>
          <w:rFonts w:cstheme="minorHAnsi"/>
          <w:bCs/>
        </w:rPr>
        <w:t xml:space="preserve">Where the Audit Committee or Board, as the case may be, determines not to ratify a Related Party Transaction that has been commenced without approval, it may direct such additional actions including, but not limited to, immediate cancellation of such transaction or recovery action against a Director or KMP who had entered in to such contract or arrangement in contravention of the provisions of the Act or </w:t>
      </w:r>
      <w:r w:rsidR="001B4C7D" w:rsidRPr="001B4C7D">
        <w:rPr>
          <w:rFonts w:cstheme="minorHAnsi"/>
          <w:bCs/>
          <w:lang w:val="en-IN"/>
        </w:rPr>
        <w:t>Regulation 23(1) of the SEBI (Listing Obligation and Disclosure Requirements) Regulations 2015</w:t>
      </w:r>
      <w:r w:rsidRPr="003E5C32">
        <w:rPr>
          <w:rFonts w:cstheme="minorHAnsi"/>
          <w:bCs/>
        </w:rPr>
        <w:t xml:space="preserve">. </w:t>
      </w:r>
    </w:p>
    <w:p w:rsidR="005F0496" w:rsidRPr="003E5C32" w:rsidRDefault="005F0496" w:rsidP="009B55C2">
      <w:pPr>
        <w:spacing w:line="240" w:lineRule="auto"/>
        <w:jc w:val="both"/>
        <w:rPr>
          <w:rFonts w:cstheme="minorHAnsi"/>
          <w:b/>
          <w:bCs/>
        </w:rPr>
      </w:pPr>
      <w:r w:rsidRPr="003E5C32">
        <w:rPr>
          <w:rFonts w:cstheme="minorHAnsi"/>
          <w:bCs/>
        </w:rPr>
        <w:t xml:space="preserve">In any case, where the Audit Committee determines not to ratify a related party transaction that has been commenced without approval, the Audit Committee, as appropriate, may direct additional actions including, but not limited to, discontinuation of the transaction or seeking the approval of the shareholders, payment of compensation for the loss suffered by the related party etc. In connection with any review/approval of a related party transaction, the Audit Committee has authority to modify or waive any procedural requirements of this Policy. </w:t>
      </w:r>
    </w:p>
    <w:p w:rsidR="005F0496" w:rsidRPr="003E5C32" w:rsidRDefault="00BA1B8F" w:rsidP="009B55C2">
      <w:pPr>
        <w:spacing w:line="240" w:lineRule="auto"/>
        <w:jc w:val="both"/>
        <w:rPr>
          <w:rFonts w:cstheme="minorHAnsi"/>
          <w:b/>
          <w:bCs/>
          <w:i/>
          <w:sz w:val="26"/>
          <w:szCs w:val="26"/>
          <w:u w:val="single"/>
        </w:rPr>
      </w:pPr>
      <w:r>
        <w:rPr>
          <w:rFonts w:cstheme="minorHAnsi"/>
          <w:b/>
          <w:bCs/>
          <w:i/>
          <w:sz w:val="26"/>
          <w:szCs w:val="26"/>
        </w:rPr>
        <w:t>7</w:t>
      </w:r>
      <w:r w:rsidR="0005586E" w:rsidRPr="0005586E">
        <w:rPr>
          <w:rFonts w:cstheme="minorHAnsi"/>
          <w:b/>
          <w:bCs/>
          <w:i/>
          <w:sz w:val="26"/>
          <w:szCs w:val="26"/>
        </w:rPr>
        <w:t>.</w:t>
      </w:r>
      <w:r w:rsidR="0005586E">
        <w:rPr>
          <w:rFonts w:cstheme="minorHAnsi"/>
          <w:b/>
          <w:bCs/>
          <w:i/>
          <w:sz w:val="26"/>
          <w:szCs w:val="26"/>
          <w:u w:val="single"/>
        </w:rPr>
        <w:t xml:space="preserve"> Disclosure</w:t>
      </w:r>
      <w:r>
        <w:rPr>
          <w:rFonts w:cstheme="minorHAnsi"/>
          <w:b/>
          <w:bCs/>
          <w:i/>
          <w:sz w:val="26"/>
          <w:szCs w:val="26"/>
          <w:u w:val="single"/>
        </w:rPr>
        <w:t>:</w:t>
      </w:r>
    </w:p>
    <w:p w:rsidR="00207EFF" w:rsidRPr="009B55C2" w:rsidRDefault="0062749A" w:rsidP="009B55C2">
      <w:pPr>
        <w:spacing w:line="240" w:lineRule="auto"/>
        <w:jc w:val="both"/>
        <w:rPr>
          <w:rFonts w:cstheme="minorHAnsi"/>
          <w:bCs/>
          <w:sz w:val="24"/>
          <w:szCs w:val="24"/>
          <w:lang w:val="en-IN"/>
        </w:rPr>
      </w:pPr>
      <w:r>
        <w:rPr>
          <w:rFonts w:cstheme="minorHAnsi"/>
          <w:bCs/>
          <w:sz w:val="24"/>
          <w:szCs w:val="24"/>
          <w:lang w:val="en-IN"/>
        </w:rPr>
        <w:t>The Company</w:t>
      </w:r>
      <w:r w:rsidR="00207EFF" w:rsidRPr="009B55C2">
        <w:rPr>
          <w:rFonts w:cstheme="minorHAnsi"/>
          <w:bCs/>
          <w:sz w:val="24"/>
          <w:szCs w:val="24"/>
          <w:lang w:val="en-IN"/>
        </w:rPr>
        <w:t xml:space="preserve"> shall disclose, in the Board’s report, transactions prescribed in Section 188(1) of the Act with related parties, which are not in ordinary course of business or arm’s length basis along with the justification for entering into such transaction. </w:t>
      </w:r>
    </w:p>
    <w:p w:rsidR="00207EFF" w:rsidRPr="003E5C32" w:rsidRDefault="00207EFF" w:rsidP="009B55C2">
      <w:pPr>
        <w:spacing w:line="240" w:lineRule="auto"/>
        <w:jc w:val="both"/>
        <w:rPr>
          <w:rFonts w:cstheme="minorHAnsi"/>
          <w:bCs/>
          <w:lang w:val="en-IN"/>
        </w:rPr>
      </w:pPr>
      <w:r w:rsidRPr="003E5C32">
        <w:rPr>
          <w:rFonts w:cstheme="minorHAnsi"/>
          <w:bCs/>
          <w:lang w:val="en-IN"/>
        </w:rPr>
        <w:t xml:space="preserve">In addition to the above, </w:t>
      </w:r>
      <w:r w:rsidR="0062749A" w:rsidRPr="003E5C32">
        <w:rPr>
          <w:rFonts w:cstheme="minorHAnsi"/>
          <w:bCs/>
          <w:lang w:val="en-IN"/>
        </w:rPr>
        <w:t>the company</w:t>
      </w:r>
      <w:r w:rsidRPr="003E5C32">
        <w:rPr>
          <w:rFonts w:cstheme="minorHAnsi"/>
          <w:bCs/>
          <w:lang w:val="en-IN"/>
        </w:rPr>
        <w:t xml:space="preserve"> shall also provide details of all related party transactions meeting the materiality threshold (laid down in Clause 5 of the Policy above) on a quarterly basis to the stock exchanges. </w:t>
      </w:r>
    </w:p>
    <w:p w:rsidR="00207EFF" w:rsidRPr="00545FF9" w:rsidRDefault="00BA1B8F" w:rsidP="009B55C2">
      <w:pPr>
        <w:spacing w:line="240" w:lineRule="auto"/>
        <w:jc w:val="both"/>
        <w:rPr>
          <w:rFonts w:cstheme="minorHAnsi"/>
          <w:b/>
          <w:bCs/>
          <w:i/>
          <w:sz w:val="26"/>
          <w:szCs w:val="26"/>
          <w:u w:val="single"/>
        </w:rPr>
      </w:pPr>
      <w:r>
        <w:rPr>
          <w:rFonts w:cstheme="minorHAnsi"/>
          <w:b/>
          <w:bCs/>
          <w:i/>
          <w:sz w:val="26"/>
          <w:szCs w:val="26"/>
        </w:rPr>
        <w:t>8</w:t>
      </w:r>
      <w:r w:rsidR="0005586E" w:rsidRPr="0005586E">
        <w:rPr>
          <w:rFonts w:cstheme="minorHAnsi"/>
          <w:b/>
          <w:bCs/>
          <w:i/>
          <w:sz w:val="26"/>
          <w:szCs w:val="26"/>
        </w:rPr>
        <w:t>.</w:t>
      </w:r>
      <w:r w:rsidR="0005586E">
        <w:rPr>
          <w:rFonts w:cstheme="minorHAnsi"/>
          <w:b/>
          <w:bCs/>
          <w:i/>
          <w:sz w:val="26"/>
          <w:szCs w:val="26"/>
          <w:u w:val="single"/>
        </w:rPr>
        <w:t xml:space="preserve"> Limitations a</w:t>
      </w:r>
      <w:r w:rsidR="0005586E" w:rsidRPr="00545FF9">
        <w:rPr>
          <w:rFonts w:cstheme="minorHAnsi"/>
          <w:b/>
          <w:bCs/>
          <w:i/>
          <w:sz w:val="26"/>
          <w:szCs w:val="26"/>
          <w:u w:val="single"/>
        </w:rPr>
        <w:t>nd Amendment</w:t>
      </w:r>
      <w:r>
        <w:rPr>
          <w:rFonts w:cstheme="minorHAnsi"/>
          <w:b/>
          <w:bCs/>
          <w:i/>
          <w:sz w:val="26"/>
          <w:szCs w:val="26"/>
          <w:u w:val="single"/>
        </w:rPr>
        <w:t>:</w:t>
      </w:r>
    </w:p>
    <w:p w:rsidR="00EB49DE" w:rsidRPr="003E5C32" w:rsidRDefault="00EB49DE" w:rsidP="009B55C2">
      <w:pPr>
        <w:jc w:val="both"/>
        <w:rPr>
          <w:rFonts w:cstheme="minorHAnsi"/>
          <w:bCs/>
        </w:rPr>
      </w:pPr>
      <w:r w:rsidRPr="003E5C32">
        <w:rPr>
          <w:rFonts w:cstheme="minorHAnsi"/>
          <w:bCs/>
        </w:rPr>
        <w:t>In the event of any conflict between the provisions of this Policy and of the Act or Listing Agreement or any other statutory enactments, rules, the provisions of such Act or Listing Agreement or statutory enactments, rules shall prevail over this Policy. Any subsequent amendment / modification in the Listing Agreement, Act and/or applicable laws in this regard shall automatically apply to this Policy.</w:t>
      </w:r>
    </w:p>
    <w:p w:rsidR="008528CA" w:rsidRPr="009B55C2" w:rsidRDefault="00012310" w:rsidP="009B55C2">
      <w:pPr>
        <w:widowControl w:val="0"/>
        <w:overflowPunct w:val="0"/>
        <w:autoSpaceDE w:val="0"/>
        <w:autoSpaceDN w:val="0"/>
        <w:adjustRightInd w:val="0"/>
        <w:spacing w:after="0" w:line="236" w:lineRule="auto"/>
        <w:ind w:left="348" w:right="20"/>
        <w:jc w:val="center"/>
        <w:rPr>
          <w:rFonts w:cstheme="minorHAnsi"/>
          <w:bCs/>
          <w:color w:val="000000"/>
          <w:sz w:val="24"/>
          <w:szCs w:val="24"/>
          <w:lang w:val="en-IN"/>
        </w:rPr>
      </w:pPr>
      <w:r w:rsidRPr="009B55C2">
        <w:rPr>
          <w:rFonts w:cstheme="minorHAnsi"/>
          <w:b/>
          <w:sz w:val="24"/>
          <w:szCs w:val="24"/>
          <w:lang w:val="en-IN" w:eastAsia="en-IN"/>
        </w:rPr>
        <w:t>***</w:t>
      </w:r>
    </w:p>
    <w:sectPr w:rsidR="008528CA" w:rsidRPr="009B55C2" w:rsidSect="00DF5CEF">
      <w:head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13" w:rsidRDefault="00B46913" w:rsidP="008971FF">
      <w:pPr>
        <w:spacing w:after="0" w:line="240" w:lineRule="auto"/>
      </w:pPr>
      <w:r>
        <w:separator/>
      </w:r>
    </w:p>
  </w:endnote>
  <w:endnote w:type="continuationSeparator" w:id="0">
    <w:p w:rsidR="00B46913" w:rsidRDefault="00B46913" w:rsidP="00897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13" w:rsidRDefault="00B46913" w:rsidP="008971FF">
      <w:pPr>
        <w:spacing w:after="0" w:line="240" w:lineRule="auto"/>
      </w:pPr>
      <w:r>
        <w:separator/>
      </w:r>
    </w:p>
  </w:footnote>
  <w:footnote w:type="continuationSeparator" w:id="0">
    <w:p w:rsidR="00B46913" w:rsidRDefault="00B46913" w:rsidP="00897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FF" w:rsidRDefault="008971FF">
    <w:pPr>
      <w:pStyle w:val="Header"/>
    </w:pPr>
    <w:r>
      <w:tab/>
    </w:r>
    <w:r>
      <w:tab/>
    </w:r>
  </w:p>
  <w:p w:rsidR="008971FF" w:rsidRDefault="00897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6"/>
      <w:numFmt w:val="decimal"/>
      <w:lvlText w:val="%1."/>
      <w:lvlJc w:val="left"/>
      <w:pPr>
        <w:tabs>
          <w:tab w:val="num" w:pos="720"/>
        </w:tabs>
        <w:ind w:left="720" w:hanging="360"/>
      </w:pPr>
      <w:rPr>
        <w:rFonts w:cs="Times New Roman"/>
      </w:rPr>
    </w:lvl>
    <w:lvl w:ilvl="1" w:tplc="0000390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05E"/>
    <w:multiLevelType w:val="hybridMultilevel"/>
    <w:tmpl w:val="0000440D"/>
    <w:lvl w:ilvl="0" w:tplc="0000491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D06"/>
    <w:multiLevelType w:val="hybridMultilevel"/>
    <w:tmpl w:val="00004DB7"/>
    <w:lvl w:ilvl="0" w:tplc="0000154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4DE"/>
    <w:multiLevelType w:val="hybridMultilevel"/>
    <w:tmpl w:val="000039B3"/>
    <w:lvl w:ilvl="0" w:tplc="00002D12">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AF1"/>
    <w:multiLevelType w:val="hybridMultilevel"/>
    <w:tmpl w:val="011A7E32"/>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D03"/>
    <w:multiLevelType w:val="hybridMultilevel"/>
    <w:tmpl w:val="00007A5A"/>
    <w:lvl w:ilvl="0" w:tplc="0000767D">
      <w:start w:val="2"/>
      <w:numFmt w:val="lowerRoman"/>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32BEF364"/>
    <w:lvl w:ilvl="0" w:tplc="EEA60D42">
      <w:start w:val="1"/>
      <w:numFmt w:val="lowerLetter"/>
      <w:lvlText w:val="%1."/>
      <w:lvlJc w:val="left"/>
      <w:pPr>
        <w:tabs>
          <w:tab w:val="num" w:pos="720"/>
        </w:tabs>
        <w:ind w:left="720" w:hanging="360"/>
      </w:pPr>
      <w:rPr>
        <w:rFonts w:ascii="Calibri" w:eastAsiaTheme="minorEastAsia" w:hAnsi="Calibri" w:cs="Calibri"/>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6BB"/>
    <w:multiLevelType w:val="hybridMultilevel"/>
    <w:tmpl w:val="0000428B"/>
    <w:lvl w:ilvl="0" w:tplc="000026A6">
      <w:start w:val="1"/>
      <w:numFmt w:val="lowerRoman"/>
      <w:lvlText w:val="%1"/>
      <w:lvlJc w:val="left"/>
      <w:pPr>
        <w:tabs>
          <w:tab w:val="num" w:pos="720"/>
        </w:tabs>
        <w:ind w:left="720" w:hanging="360"/>
      </w:pPr>
      <w:rPr>
        <w:rFonts w:cs="Times New Roman"/>
      </w:rPr>
    </w:lvl>
    <w:lvl w:ilvl="1" w:tplc="0000701F">
      <w:start w:val="1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E797BDB"/>
    <w:multiLevelType w:val="hybridMultilevel"/>
    <w:tmpl w:val="F126BF9E"/>
    <w:lvl w:ilvl="0" w:tplc="6B54FDAA">
      <w:start w:val="2"/>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E652E"/>
    <w:multiLevelType w:val="hybridMultilevel"/>
    <w:tmpl w:val="21041554"/>
    <w:lvl w:ilvl="0" w:tplc="3C96DB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9154B"/>
    <w:multiLevelType w:val="hybridMultilevel"/>
    <w:tmpl w:val="8AF8E45E"/>
    <w:lvl w:ilvl="0" w:tplc="70BEBACA">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330201A"/>
    <w:multiLevelType w:val="hybridMultilevel"/>
    <w:tmpl w:val="D1A6859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817F9"/>
    <w:multiLevelType w:val="hybridMultilevel"/>
    <w:tmpl w:val="DF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B7413"/>
    <w:multiLevelType w:val="hybridMultilevel"/>
    <w:tmpl w:val="E988AC36"/>
    <w:lvl w:ilvl="0" w:tplc="F4DC5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06ED6"/>
    <w:multiLevelType w:val="hybridMultilevel"/>
    <w:tmpl w:val="BBF6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3738C"/>
    <w:multiLevelType w:val="hybridMultilevel"/>
    <w:tmpl w:val="2980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F2F6D"/>
    <w:multiLevelType w:val="hybridMultilevel"/>
    <w:tmpl w:val="6D4A1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0F6FFC"/>
    <w:multiLevelType w:val="hybridMultilevel"/>
    <w:tmpl w:val="E6D075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0959E3"/>
    <w:multiLevelType w:val="hybridMultilevel"/>
    <w:tmpl w:val="27B809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B86331A"/>
    <w:multiLevelType w:val="hybridMultilevel"/>
    <w:tmpl w:val="9EB63684"/>
    <w:lvl w:ilvl="0" w:tplc="000026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C146D"/>
    <w:multiLevelType w:val="hybridMultilevel"/>
    <w:tmpl w:val="9CBA0958"/>
    <w:lvl w:ilvl="0" w:tplc="000026E9">
      <w:start w:val="1"/>
      <w:numFmt w:val="bullet"/>
      <w:lvlText w:val="·"/>
      <w:lvlJc w:val="left"/>
      <w:pPr>
        <w:tabs>
          <w:tab w:val="num" w:pos="1080"/>
        </w:tabs>
        <w:ind w:left="108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3AD7A6C"/>
    <w:multiLevelType w:val="hybridMultilevel"/>
    <w:tmpl w:val="8310A214"/>
    <w:lvl w:ilvl="0" w:tplc="000026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F4D88"/>
    <w:multiLevelType w:val="hybridMultilevel"/>
    <w:tmpl w:val="3DE25C10"/>
    <w:lvl w:ilvl="0" w:tplc="D54EA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4329C"/>
    <w:multiLevelType w:val="hybridMultilevel"/>
    <w:tmpl w:val="70D40DB8"/>
    <w:lvl w:ilvl="0" w:tplc="000026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632B4"/>
    <w:multiLevelType w:val="hybridMultilevel"/>
    <w:tmpl w:val="4300C1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62EEB"/>
    <w:multiLevelType w:val="hybridMultilevel"/>
    <w:tmpl w:val="253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C1513"/>
    <w:multiLevelType w:val="hybridMultilevel"/>
    <w:tmpl w:val="082A72D6"/>
    <w:lvl w:ilvl="0" w:tplc="FBC07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A6D3A"/>
    <w:multiLevelType w:val="hybridMultilevel"/>
    <w:tmpl w:val="F6AA589E"/>
    <w:lvl w:ilvl="0" w:tplc="3D62612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E91259"/>
    <w:multiLevelType w:val="hybridMultilevel"/>
    <w:tmpl w:val="32EC1792"/>
    <w:lvl w:ilvl="0" w:tplc="000026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9"/>
  </w:num>
  <w:num w:numId="5">
    <w:abstractNumId w:val="31"/>
  </w:num>
  <w:num w:numId="6">
    <w:abstractNumId w:val="30"/>
  </w:num>
  <w:num w:numId="7">
    <w:abstractNumId w:val="24"/>
  </w:num>
  <w:num w:numId="8">
    <w:abstractNumId w:val="26"/>
  </w:num>
  <w:num w:numId="9">
    <w:abstractNumId w:val="22"/>
  </w:num>
  <w:num w:numId="10">
    <w:abstractNumId w:val="7"/>
  </w:num>
  <w:num w:numId="11">
    <w:abstractNumId w:val="25"/>
  </w:num>
  <w:num w:numId="12">
    <w:abstractNumId w:val="12"/>
  </w:num>
  <w:num w:numId="13">
    <w:abstractNumId w:val="18"/>
  </w:num>
  <w:num w:numId="14">
    <w:abstractNumId w:val="29"/>
  </w:num>
  <w:num w:numId="15">
    <w:abstractNumId w:val="21"/>
  </w:num>
  <w:num w:numId="16">
    <w:abstractNumId w:val="19"/>
  </w:num>
  <w:num w:numId="17">
    <w:abstractNumId w:val="28"/>
  </w:num>
  <w:num w:numId="18">
    <w:abstractNumId w:val="23"/>
  </w:num>
  <w:num w:numId="19">
    <w:abstractNumId w:val="15"/>
  </w:num>
  <w:num w:numId="20">
    <w:abstractNumId w:val="17"/>
  </w:num>
  <w:num w:numId="21">
    <w:abstractNumId w:val="27"/>
  </w:num>
  <w:num w:numId="22">
    <w:abstractNumId w:val="3"/>
  </w:num>
  <w:num w:numId="23">
    <w:abstractNumId w:val="1"/>
  </w:num>
  <w:num w:numId="24">
    <w:abstractNumId w:val="4"/>
  </w:num>
  <w:num w:numId="25">
    <w:abstractNumId w:val="5"/>
  </w:num>
  <w:num w:numId="26">
    <w:abstractNumId w:val="6"/>
  </w:num>
  <w:num w:numId="27">
    <w:abstractNumId w:val="0"/>
  </w:num>
  <w:num w:numId="28">
    <w:abstractNumId w:val="10"/>
  </w:num>
  <w:num w:numId="29">
    <w:abstractNumId w:val="8"/>
  </w:num>
  <w:num w:numId="30">
    <w:abstractNumId w:val="2"/>
  </w:num>
  <w:num w:numId="31">
    <w:abstractNumId w:val="1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F5CEF"/>
    <w:rsid w:val="00012310"/>
    <w:rsid w:val="000428B7"/>
    <w:rsid w:val="0005586E"/>
    <w:rsid w:val="00070AC4"/>
    <w:rsid w:val="000777F7"/>
    <w:rsid w:val="000835E5"/>
    <w:rsid w:val="000B21CB"/>
    <w:rsid w:val="000D01E2"/>
    <w:rsid w:val="000E7CAD"/>
    <w:rsid w:val="001055D6"/>
    <w:rsid w:val="001B4C7D"/>
    <w:rsid w:val="001D1EFC"/>
    <w:rsid w:val="001D6F99"/>
    <w:rsid w:val="00207EFF"/>
    <w:rsid w:val="00274046"/>
    <w:rsid w:val="002D7115"/>
    <w:rsid w:val="002E3AF8"/>
    <w:rsid w:val="00331BE1"/>
    <w:rsid w:val="00351942"/>
    <w:rsid w:val="00357995"/>
    <w:rsid w:val="00390F02"/>
    <w:rsid w:val="003A7938"/>
    <w:rsid w:val="003C3893"/>
    <w:rsid w:val="003D2376"/>
    <w:rsid w:val="003E5C32"/>
    <w:rsid w:val="003F2C32"/>
    <w:rsid w:val="00453CBE"/>
    <w:rsid w:val="004C034D"/>
    <w:rsid w:val="00505EBB"/>
    <w:rsid w:val="0051364E"/>
    <w:rsid w:val="00545FF9"/>
    <w:rsid w:val="005F0496"/>
    <w:rsid w:val="005F367A"/>
    <w:rsid w:val="006029E9"/>
    <w:rsid w:val="00611AA0"/>
    <w:rsid w:val="0062749A"/>
    <w:rsid w:val="006434F2"/>
    <w:rsid w:val="00643828"/>
    <w:rsid w:val="006D03EB"/>
    <w:rsid w:val="00702285"/>
    <w:rsid w:val="007A22FC"/>
    <w:rsid w:val="007B1742"/>
    <w:rsid w:val="007C77CA"/>
    <w:rsid w:val="0080004A"/>
    <w:rsid w:val="008528CA"/>
    <w:rsid w:val="008971FF"/>
    <w:rsid w:val="008A1EE3"/>
    <w:rsid w:val="008D5576"/>
    <w:rsid w:val="008D77A5"/>
    <w:rsid w:val="008E4BEE"/>
    <w:rsid w:val="008E4E90"/>
    <w:rsid w:val="00963C1A"/>
    <w:rsid w:val="00984665"/>
    <w:rsid w:val="009A5A38"/>
    <w:rsid w:val="009B55C2"/>
    <w:rsid w:val="009C155E"/>
    <w:rsid w:val="009E5719"/>
    <w:rsid w:val="009F132D"/>
    <w:rsid w:val="009F7058"/>
    <w:rsid w:val="00A0460F"/>
    <w:rsid w:val="00A05C90"/>
    <w:rsid w:val="00A67D95"/>
    <w:rsid w:val="00A762A8"/>
    <w:rsid w:val="00AB460A"/>
    <w:rsid w:val="00AE5911"/>
    <w:rsid w:val="00AF74F5"/>
    <w:rsid w:val="00B448A4"/>
    <w:rsid w:val="00B46913"/>
    <w:rsid w:val="00BA1B8F"/>
    <w:rsid w:val="00BB4703"/>
    <w:rsid w:val="00BE4867"/>
    <w:rsid w:val="00BE5F89"/>
    <w:rsid w:val="00BF4378"/>
    <w:rsid w:val="00C237AD"/>
    <w:rsid w:val="00C67E59"/>
    <w:rsid w:val="00C861E8"/>
    <w:rsid w:val="00C91769"/>
    <w:rsid w:val="00CA5D19"/>
    <w:rsid w:val="00CC3659"/>
    <w:rsid w:val="00CC5A4C"/>
    <w:rsid w:val="00D86A48"/>
    <w:rsid w:val="00DE38AD"/>
    <w:rsid w:val="00DE5DF3"/>
    <w:rsid w:val="00DF5CEF"/>
    <w:rsid w:val="00E17BC3"/>
    <w:rsid w:val="00E45807"/>
    <w:rsid w:val="00E8776E"/>
    <w:rsid w:val="00EB49DE"/>
    <w:rsid w:val="00EB7DFC"/>
    <w:rsid w:val="00ED10F5"/>
    <w:rsid w:val="00F15254"/>
    <w:rsid w:val="00F40599"/>
    <w:rsid w:val="00F41CF3"/>
    <w:rsid w:val="00F469DD"/>
    <w:rsid w:val="00F61A19"/>
    <w:rsid w:val="00F9328D"/>
    <w:rsid w:val="00F965B7"/>
    <w:rsid w:val="00FB3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CE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F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EF"/>
    <w:rPr>
      <w:rFonts w:ascii="Tahoma" w:hAnsi="Tahoma" w:cs="Tahoma"/>
      <w:sz w:val="16"/>
      <w:szCs w:val="16"/>
    </w:rPr>
  </w:style>
  <w:style w:type="paragraph" w:styleId="Header">
    <w:name w:val="header"/>
    <w:basedOn w:val="Normal"/>
    <w:link w:val="HeaderChar"/>
    <w:uiPriority w:val="99"/>
    <w:unhideWhenUsed/>
    <w:rsid w:val="00897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FF"/>
  </w:style>
  <w:style w:type="paragraph" w:styleId="Footer">
    <w:name w:val="footer"/>
    <w:basedOn w:val="Normal"/>
    <w:link w:val="FooterChar"/>
    <w:uiPriority w:val="99"/>
    <w:semiHidden/>
    <w:unhideWhenUsed/>
    <w:rsid w:val="00897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1FF"/>
  </w:style>
  <w:style w:type="table" w:styleId="TableGrid">
    <w:name w:val="Table Grid"/>
    <w:basedOn w:val="TableNormal"/>
    <w:uiPriority w:val="59"/>
    <w:rsid w:val="000B2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1CB"/>
    <w:pPr>
      <w:ind w:left="720"/>
      <w:contextualSpacing/>
    </w:pPr>
  </w:style>
  <w:style w:type="character" w:styleId="Hyperlink">
    <w:name w:val="Hyperlink"/>
    <w:basedOn w:val="DefaultParagraphFont"/>
    <w:uiPriority w:val="99"/>
    <w:unhideWhenUsed/>
    <w:rsid w:val="00F15254"/>
    <w:rPr>
      <w:color w:val="0000FF" w:themeColor="hyperlink"/>
      <w:u w:val="single"/>
    </w:rPr>
  </w:style>
  <w:style w:type="paragraph" w:styleId="NormalWeb">
    <w:name w:val="Normal (Web)"/>
    <w:basedOn w:val="Normal"/>
    <w:uiPriority w:val="99"/>
    <w:semiHidden/>
    <w:unhideWhenUsed/>
    <w:rsid w:val="000777F7"/>
    <w:pPr>
      <w:spacing w:before="100" w:beforeAutospacing="1" w:after="119"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1234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ytochem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hytochemin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8B41-4EA2-485A-A622-A744997B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NANDYALA-2</dc:creator>
  <cp:lastModifiedBy>Jagannatham4</cp:lastModifiedBy>
  <cp:revision>29</cp:revision>
  <dcterms:created xsi:type="dcterms:W3CDTF">2015-08-31T10:35:00Z</dcterms:created>
  <dcterms:modified xsi:type="dcterms:W3CDTF">2016-08-03T09:43:00Z</dcterms:modified>
</cp:coreProperties>
</file>