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B1E08" w:rsidRDefault="002B1E08" w:rsidP="002B1E08">
      <w:pPr>
        <w:tabs>
          <w:tab w:val="left" w:pos="6195"/>
          <w:tab w:val="left" w:pos="7875"/>
        </w:tabs>
        <w:jc w:val="center"/>
        <w:rPr>
          <w:b/>
          <w:bCs/>
        </w:rPr>
      </w:pPr>
      <w:r>
        <w:rPr>
          <w:noProof/>
        </w:rPr>
        <w:drawing>
          <wp:inline distT="0" distB="0" distL="0" distR="0">
            <wp:extent cx="1657350" cy="20955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2B1E08" w:rsidRPr="002B1E08" w:rsidRDefault="002B1E08" w:rsidP="002B1E08">
      <w:pPr>
        <w:jc w:val="center"/>
        <w:rPr>
          <w:b/>
          <w:i/>
          <w:sz w:val="48"/>
          <w:szCs w:val="48"/>
          <w:u w:val="single"/>
        </w:rPr>
      </w:pPr>
      <w:r w:rsidRPr="002B1E08">
        <w:rPr>
          <w:b/>
          <w:i/>
          <w:sz w:val="48"/>
          <w:szCs w:val="48"/>
          <w:u w:val="single"/>
        </w:rPr>
        <w:t>Board Diversity Policy</w:t>
      </w:r>
    </w:p>
    <w:p w:rsidR="002B1E08" w:rsidRDefault="002B1E08" w:rsidP="002B1E08">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3184281</wp:posOffset>
            </wp:positionH>
            <wp:positionV relativeFrom="page">
              <wp:posOffset>3868616</wp:posOffset>
            </wp:positionV>
            <wp:extent cx="1334965" cy="1679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334965" cy="167933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2B1E08" w:rsidRDefault="002B1E08" w:rsidP="002B1E08">
      <w:pPr>
        <w:autoSpaceDE w:val="0"/>
        <w:autoSpaceDN w:val="0"/>
        <w:adjustRightInd w:val="0"/>
        <w:spacing w:after="0" w:line="240" w:lineRule="auto"/>
        <w:rPr>
          <w:b/>
          <w:bCs/>
          <w:sz w:val="36"/>
          <w:szCs w:val="36"/>
        </w:rPr>
      </w:pPr>
    </w:p>
    <w:p w:rsidR="002B1E08" w:rsidRDefault="002B1E08" w:rsidP="002B1E08">
      <w:pPr>
        <w:autoSpaceDE w:val="0"/>
        <w:autoSpaceDN w:val="0"/>
        <w:adjustRightInd w:val="0"/>
        <w:spacing w:after="0" w:line="240" w:lineRule="auto"/>
        <w:jc w:val="center"/>
        <w:rPr>
          <w:b/>
          <w:bCs/>
          <w:sz w:val="36"/>
          <w:szCs w:val="36"/>
        </w:rPr>
      </w:pPr>
    </w:p>
    <w:p w:rsidR="002B1E08" w:rsidRDefault="002B1E08" w:rsidP="002B1E08">
      <w:pPr>
        <w:autoSpaceDE w:val="0"/>
        <w:autoSpaceDN w:val="0"/>
        <w:adjustRightInd w:val="0"/>
        <w:spacing w:after="0" w:line="240" w:lineRule="auto"/>
        <w:jc w:val="center"/>
        <w:rPr>
          <w:b/>
          <w:bCs/>
          <w:sz w:val="36"/>
          <w:szCs w:val="36"/>
        </w:rPr>
      </w:pPr>
    </w:p>
    <w:p w:rsidR="002B1E08" w:rsidRDefault="002B1E08" w:rsidP="002B1E08">
      <w:pPr>
        <w:autoSpaceDE w:val="0"/>
        <w:autoSpaceDN w:val="0"/>
        <w:adjustRightInd w:val="0"/>
        <w:spacing w:after="0" w:line="240" w:lineRule="auto"/>
        <w:jc w:val="center"/>
        <w:rPr>
          <w:b/>
          <w:bCs/>
          <w:sz w:val="36"/>
          <w:szCs w:val="36"/>
        </w:rPr>
      </w:pPr>
    </w:p>
    <w:p w:rsidR="002B1E08" w:rsidRDefault="002B1E08" w:rsidP="002B1E08">
      <w:pPr>
        <w:autoSpaceDE w:val="0"/>
        <w:autoSpaceDN w:val="0"/>
        <w:adjustRightInd w:val="0"/>
        <w:spacing w:after="0" w:line="240" w:lineRule="auto"/>
        <w:jc w:val="center"/>
        <w:rPr>
          <w:b/>
          <w:bCs/>
          <w:sz w:val="36"/>
          <w:szCs w:val="36"/>
        </w:rPr>
      </w:pPr>
    </w:p>
    <w:p w:rsidR="002B1E08" w:rsidRDefault="002B1E08" w:rsidP="002B1E08">
      <w:pPr>
        <w:autoSpaceDE w:val="0"/>
        <w:autoSpaceDN w:val="0"/>
        <w:adjustRightInd w:val="0"/>
        <w:spacing w:after="0" w:line="240" w:lineRule="auto"/>
        <w:jc w:val="center"/>
        <w:rPr>
          <w:b/>
          <w:bCs/>
          <w:i/>
          <w:iCs/>
          <w:sz w:val="48"/>
          <w:szCs w:val="48"/>
        </w:rPr>
      </w:pPr>
    </w:p>
    <w:p w:rsidR="002B1E08" w:rsidRDefault="002B1E08" w:rsidP="002B1E08">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2B1E08" w:rsidRPr="0081696D" w:rsidRDefault="002B1E08" w:rsidP="002B1E08">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2B1E08" w:rsidRPr="001806D2" w:rsidRDefault="002B1E08" w:rsidP="002B1E08">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2B1E08" w:rsidRPr="001806D2" w:rsidRDefault="002B1E08" w:rsidP="002B1E08">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2B1E08" w:rsidRPr="001806D2" w:rsidRDefault="002B1E08" w:rsidP="002B1E08">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w:t>
      </w:r>
      <w:proofErr w:type="spellStart"/>
      <w:r w:rsidRPr="001806D2">
        <w:rPr>
          <w:b/>
          <w:bCs/>
          <w:sz w:val="26"/>
          <w:szCs w:val="26"/>
        </w:rPr>
        <w:t>Telangana</w:t>
      </w:r>
      <w:proofErr w:type="spellEnd"/>
      <w:r w:rsidRPr="001806D2">
        <w:rPr>
          <w:b/>
          <w:bCs/>
          <w:sz w:val="26"/>
          <w:szCs w:val="26"/>
        </w:rPr>
        <w:t xml:space="preserve"> State.</w:t>
      </w:r>
      <w:proofErr w:type="gramEnd"/>
    </w:p>
    <w:p w:rsidR="002B1E08" w:rsidRDefault="002B1E08" w:rsidP="002B1E08">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2B1E08" w:rsidRPr="001806D2" w:rsidRDefault="002B1E08" w:rsidP="002B1E08">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2B1E08" w:rsidRDefault="002B1E08" w:rsidP="002B1E08">
      <w:pPr>
        <w:autoSpaceDE w:val="0"/>
        <w:autoSpaceDN w:val="0"/>
        <w:adjustRightInd w:val="0"/>
        <w:spacing w:after="0" w:line="240" w:lineRule="auto"/>
        <w:jc w:val="center"/>
        <w:rPr>
          <w:b/>
          <w:bCs/>
          <w:sz w:val="28"/>
          <w:szCs w:val="28"/>
        </w:rPr>
      </w:pPr>
    </w:p>
    <w:p w:rsidR="002B1E08" w:rsidRPr="00F3644F" w:rsidRDefault="002B1E08" w:rsidP="002B1E08">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2B1E08" w:rsidRPr="00F3644F" w:rsidRDefault="002B1E08" w:rsidP="002B1E08">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7" w:tgtFrame="_blank" w:history="1">
        <w:r w:rsidRPr="00F3644F">
          <w:rPr>
            <w:rStyle w:val="Hyperlink"/>
            <w:b/>
            <w:bCs/>
            <w:sz w:val="28"/>
            <w:szCs w:val="28"/>
          </w:rPr>
          <w:t>www.phytochemindia.com</w:t>
        </w:r>
      </w:hyperlink>
    </w:p>
    <w:p w:rsidR="002B1E08" w:rsidRDefault="002B1E08" w:rsidP="002B1E08">
      <w:pPr>
        <w:autoSpaceDE w:val="0"/>
        <w:autoSpaceDN w:val="0"/>
        <w:adjustRightInd w:val="0"/>
        <w:spacing w:after="0" w:line="240" w:lineRule="auto"/>
        <w:jc w:val="center"/>
      </w:pPr>
      <w:r w:rsidRPr="00F3644F">
        <w:rPr>
          <w:b/>
          <w:bCs/>
          <w:sz w:val="28"/>
          <w:szCs w:val="28"/>
        </w:rPr>
        <w:t xml:space="preserve">Email: </w:t>
      </w:r>
      <w:hyperlink r:id="rId8" w:history="1">
        <w:r w:rsidRPr="00F3644F">
          <w:rPr>
            <w:rStyle w:val="Hyperlink"/>
            <w:b/>
            <w:bCs/>
            <w:sz w:val="28"/>
            <w:szCs w:val="28"/>
          </w:rPr>
          <w:t>phytochem@phytochemindia.com</w:t>
        </w:r>
      </w:hyperlink>
    </w:p>
    <w:p w:rsidR="002B1E08" w:rsidRDefault="003C2963" w:rsidP="002B1E08">
      <w:pPr>
        <w:autoSpaceDE w:val="0"/>
        <w:autoSpaceDN w:val="0"/>
        <w:adjustRightInd w:val="0"/>
        <w:spacing w:after="0" w:line="240" w:lineRule="auto"/>
        <w:jc w:val="center"/>
      </w:pPr>
      <w:hyperlink r:id="rId9" w:history="1">
        <w:r w:rsidR="002B1E08" w:rsidRPr="00BD2D28">
          <w:rPr>
            <w:rStyle w:val="Hyperlink"/>
            <w:b/>
            <w:bCs/>
            <w:sz w:val="28"/>
            <w:szCs w:val="28"/>
          </w:rPr>
          <w:t>info@phytochemindia.com</w:t>
        </w:r>
      </w:hyperlink>
    </w:p>
    <w:p w:rsidR="002B1E08" w:rsidRDefault="002B1E08">
      <w:pPr>
        <w:rPr>
          <w:rFonts w:asciiTheme="majorHAnsi" w:hAnsiTheme="majorHAnsi"/>
          <w:b/>
          <w:i/>
          <w:sz w:val="28"/>
          <w:szCs w:val="28"/>
        </w:rPr>
      </w:pPr>
      <w:r>
        <w:rPr>
          <w:rFonts w:asciiTheme="majorHAnsi" w:hAnsiTheme="majorHAnsi"/>
          <w:b/>
          <w:i/>
          <w:sz w:val="28"/>
          <w:szCs w:val="28"/>
        </w:rPr>
        <w:br w:type="page"/>
      </w:r>
    </w:p>
    <w:p w:rsidR="002B1E08" w:rsidRPr="00E732D0" w:rsidRDefault="002B1E08" w:rsidP="002B1E08">
      <w:pPr>
        <w:tabs>
          <w:tab w:val="left" w:pos="6195"/>
          <w:tab w:val="left" w:pos="7875"/>
        </w:tabs>
        <w:jc w:val="center"/>
        <w:rPr>
          <w:rFonts w:ascii="Arial" w:hAnsi="Arial" w:cs="Arial"/>
          <w:b/>
          <w:bCs/>
          <w:i/>
          <w:iCs/>
          <w:sz w:val="44"/>
          <w:szCs w:val="44"/>
        </w:rPr>
      </w:pPr>
      <w:proofErr w:type="spellStart"/>
      <w:r w:rsidRPr="00E732D0">
        <w:rPr>
          <w:rFonts w:ascii="Arial" w:hAnsi="Arial" w:cs="Arial"/>
          <w:b/>
          <w:bCs/>
          <w:i/>
          <w:iCs/>
          <w:sz w:val="44"/>
          <w:szCs w:val="44"/>
        </w:rPr>
        <w:lastRenderedPageBreak/>
        <w:t>Phyto</w:t>
      </w:r>
      <w:proofErr w:type="spellEnd"/>
      <w:r w:rsidRPr="00E732D0">
        <w:rPr>
          <w:rFonts w:ascii="Arial" w:hAnsi="Arial" w:cs="Arial"/>
          <w:b/>
          <w:bCs/>
          <w:i/>
          <w:iCs/>
          <w:sz w:val="44"/>
          <w:szCs w:val="44"/>
        </w:rPr>
        <w:t xml:space="preserve"> </w:t>
      </w:r>
      <w:proofErr w:type="spellStart"/>
      <w:r w:rsidRPr="00E732D0">
        <w:rPr>
          <w:rFonts w:ascii="Arial" w:hAnsi="Arial" w:cs="Arial"/>
          <w:b/>
          <w:bCs/>
          <w:i/>
          <w:iCs/>
          <w:sz w:val="44"/>
          <w:szCs w:val="44"/>
        </w:rPr>
        <w:t>Chem</w:t>
      </w:r>
      <w:proofErr w:type="spellEnd"/>
      <w:r w:rsidRPr="00E732D0">
        <w:rPr>
          <w:rFonts w:ascii="Arial" w:hAnsi="Arial" w:cs="Arial"/>
          <w:b/>
          <w:bCs/>
          <w:i/>
          <w:iCs/>
          <w:sz w:val="44"/>
          <w:szCs w:val="44"/>
        </w:rPr>
        <w:t xml:space="preserve"> (India) Limited</w:t>
      </w:r>
    </w:p>
    <w:p w:rsidR="002B1E08" w:rsidRPr="0081696D" w:rsidRDefault="002B1E08" w:rsidP="002B1E08">
      <w:pPr>
        <w:pStyle w:val="NormalWeb"/>
        <w:shd w:val="clear" w:color="auto" w:fill="FFFFFF"/>
        <w:spacing w:before="0" w:beforeAutospacing="0" w:after="0"/>
        <w:jc w:val="center"/>
        <w:rPr>
          <w:rFonts w:ascii="Arial" w:hAnsi="Arial" w:cs="Arial"/>
          <w:sz w:val="26"/>
          <w:szCs w:val="26"/>
        </w:rPr>
      </w:pPr>
      <w:r w:rsidRPr="0081696D">
        <w:rPr>
          <w:rFonts w:ascii="Arial" w:hAnsi="Arial" w:cs="Arial"/>
          <w:sz w:val="26"/>
          <w:szCs w:val="26"/>
        </w:rPr>
        <w:t>*</w:t>
      </w:r>
      <w:r>
        <w:rPr>
          <w:rFonts w:ascii="Arial" w:hAnsi="Arial" w:cs="Arial"/>
          <w:sz w:val="26"/>
          <w:szCs w:val="26"/>
        </w:rPr>
        <w:t xml:space="preserve"> * *</w:t>
      </w:r>
    </w:p>
    <w:p w:rsidR="00C856CC" w:rsidRPr="00D4163B" w:rsidRDefault="001B2B52" w:rsidP="00F651E6">
      <w:pPr>
        <w:jc w:val="center"/>
        <w:rPr>
          <w:rFonts w:asciiTheme="majorHAnsi" w:hAnsiTheme="majorHAnsi"/>
          <w:b/>
          <w:i/>
          <w:sz w:val="28"/>
          <w:szCs w:val="28"/>
          <w:u w:val="single"/>
        </w:rPr>
      </w:pPr>
      <w:r w:rsidRPr="00D4163B">
        <w:rPr>
          <w:rFonts w:asciiTheme="majorHAnsi" w:hAnsiTheme="majorHAnsi"/>
          <w:b/>
          <w:i/>
          <w:sz w:val="28"/>
          <w:szCs w:val="28"/>
          <w:u w:val="single"/>
        </w:rPr>
        <w:t>BOARD DIVERSITY POLICY</w:t>
      </w:r>
    </w:p>
    <w:p w:rsidR="00145A74" w:rsidRPr="006C4CD0" w:rsidRDefault="00145A74" w:rsidP="00F651E6">
      <w:pPr>
        <w:rPr>
          <w:rFonts w:asciiTheme="majorHAnsi" w:hAnsiTheme="majorHAnsi"/>
          <w:sz w:val="24"/>
          <w:szCs w:val="24"/>
        </w:rPr>
      </w:pPr>
    </w:p>
    <w:p w:rsidR="00145A74" w:rsidRPr="00891562" w:rsidRDefault="00511EA1" w:rsidP="00F651E6">
      <w:pPr>
        <w:pStyle w:val="ListParagraph"/>
        <w:numPr>
          <w:ilvl w:val="0"/>
          <w:numId w:val="3"/>
        </w:numPr>
        <w:jc w:val="both"/>
        <w:rPr>
          <w:b/>
          <w:i/>
          <w:sz w:val="26"/>
          <w:szCs w:val="26"/>
          <w:u w:val="single"/>
        </w:rPr>
      </w:pPr>
      <w:r w:rsidRPr="00891562">
        <w:rPr>
          <w:b/>
          <w:i/>
          <w:sz w:val="26"/>
          <w:szCs w:val="26"/>
          <w:u w:val="single"/>
        </w:rPr>
        <w:t xml:space="preserve">Purpose </w:t>
      </w:r>
      <w:r w:rsidR="00CB1E2F">
        <w:rPr>
          <w:b/>
          <w:i/>
          <w:sz w:val="26"/>
          <w:szCs w:val="26"/>
          <w:u w:val="single"/>
        </w:rPr>
        <w:t>:</w:t>
      </w:r>
    </w:p>
    <w:p w:rsidR="0035071E" w:rsidRPr="00D26CDB" w:rsidRDefault="0035071E" w:rsidP="0035071E">
      <w:pPr>
        <w:pStyle w:val="ListParagraph"/>
        <w:jc w:val="both"/>
        <w:rPr>
          <w:rFonts w:asciiTheme="majorHAnsi" w:hAnsiTheme="majorHAnsi"/>
          <w:b/>
          <w:sz w:val="24"/>
          <w:szCs w:val="24"/>
        </w:rPr>
      </w:pPr>
    </w:p>
    <w:p w:rsidR="0035071E" w:rsidRPr="00653C62" w:rsidRDefault="00A531CF" w:rsidP="0035071E">
      <w:pPr>
        <w:pStyle w:val="ListParagraph"/>
        <w:tabs>
          <w:tab w:val="left" w:pos="630"/>
          <w:tab w:val="left" w:pos="720"/>
          <w:tab w:val="left" w:pos="1440"/>
        </w:tabs>
        <w:jc w:val="both"/>
        <w:rPr>
          <w:rFonts w:asciiTheme="majorHAnsi" w:hAnsiTheme="majorHAnsi"/>
        </w:rPr>
      </w:pPr>
      <w:r w:rsidRPr="00653C62">
        <w:rPr>
          <w:rFonts w:asciiTheme="majorHAnsi" w:hAnsiTheme="majorHAnsi"/>
        </w:rPr>
        <w:t xml:space="preserve">The </w:t>
      </w:r>
      <w:r w:rsidR="001A3222" w:rsidRPr="00653C62">
        <w:rPr>
          <w:rFonts w:asciiTheme="majorHAnsi" w:hAnsiTheme="majorHAnsi"/>
        </w:rPr>
        <w:t>Board Diversity Policy (‘policy’) sets out approa</w:t>
      </w:r>
      <w:r w:rsidR="0035071E" w:rsidRPr="00653C62">
        <w:rPr>
          <w:rFonts w:asciiTheme="majorHAnsi" w:hAnsiTheme="majorHAnsi"/>
        </w:rPr>
        <w:t xml:space="preserve">ch to diversity on the Board </w:t>
      </w:r>
      <w:r w:rsidR="00FD4DB3" w:rsidRPr="00653C62">
        <w:rPr>
          <w:rFonts w:asciiTheme="majorHAnsi" w:hAnsiTheme="majorHAnsi"/>
        </w:rPr>
        <w:t>of the</w:t>
      </w:r>
      <w:r w:rsidR="001A3222" w:rsidRPr="00653C62">
        <w:rPr>
          <w:rFonts w:asciiTheme="majorHAnsi" w:hAnsiTheme="majorHAnsi"/>
        </w:rPr>
        <w:t xml:space="preserve"> Directors (‘Board’) </w:t>
      </w:r>
      <w:proofErr w:type="gramStart"/>
      <w:r w:rsidR="001A3222" w:rsidRPr="00653C62">
        <w:rPr>
          <w:rFonts w:asciiTheme="majorHAnsi" w:hAnsiTheme="majorHAnsi"/>
        </w:rPr>
        <w:t>of</w:t>
      </w:r>
      <w:r w:rsidR="009D780C" w:rsidRPr="00653C62">
        <w:rPr>
          <w:rFonts w:asciiTheme="majorHAnsi" w:hAnsiTheme="majorHAnsi"/>
        </w:rPr>
        <w:t xml:space="preserve"> </w:t>
      </w:r>
      <w:r w:rsidR="0035071E" w:rsidRPr="00653C62">
        <w:rPr>
          <w:rFonts w:asciiTheme="majorHAnsi" w:hAnsiTheme="majorHAnsi"/>
        </w:rPr>
        <w:t xml:space="preserve"> PHYTO</w:t>
      </w:r>
      <w:proofErr w:type="gramEnd"/>
      <w:r w:rsidR="0035071E" w:rsidRPr="00653C62">
        <w:rPr>
          <w:rFonts w:asciiTheme="majorHAnsi" w:hAnsiTheme="majorHAnsi"/>
        </w:rPr>
        <w:t xml:space="preserve"> CHEM (INDIA) </w:t>
      </w:r>
      <w:r w:rsidR="00FD4DB3" w:rsidRPr="00653C62">
        <w:rPr>
          <w:rFonts w:asciiTheme="majorHAnsi" w:hAnsiTheme="majorHAnsi"/>
        </w:rPr>
        <w:t xml:space="preserve"> </w:t>
      </w:r>
      <w:r w:rsidR="0035071E" w:rsidRPr="00653C62">
        <w:rPr>
          <w:rFonts w:asciiTheme="majorHAnsi" w:hAnsiTheme="majorHAnsi"/>
        </w:rPr>
        <w:t>LIMITED .</w:t>
      </w:r>
    </w:p>
    <w:p w:rsidR="001866DB" w:rsidRPr="006C4CD0" w:rsidRDefault="001866DB" w:rsidP="00F651E6">
      <w:pPr>
        <w:pStyle w:val="ListParagraph"/>
        <w:jc w:val="both"/>
        <w:rPr>
          <w:rFonts w:asciiTheme="majorHAnsi" w:hAnsiTheme="majorHAnsi"/>
          <w:sz w:val="24"/>
          <w:szCs w:val="24"/>
        </w:rPr>
      </w:pPr>
    </w:p>
    <w:p w:rsidR="005E521B" w:rsidRPr="00891562" w:rsidRDefault="00511EA1" w:rsidP="00F651E6">
      <w:pPr>
        <w:pStyle w:val="ListParagraph"/>
        <w:numPr>
          <w:ilvl w:val="0"/>
          <w:numId w:val="3"/>
        </w:numPr>
        <w:jc w:val="both"/>
        <w:rPr>
          <w:b/>
          <w:i/>
          <w:sz w:val="26"/>
          <w:szCs w:val="26"/>
          <w:u w:val="single"/>
        </w:rPr>
      </w:pPr>
      <w:r w:rsidRPr="00891562">
        <w:rPr>
          <w:b/>
          <w:i/>
          <w:sz w:val="26"/>
          <w:szCs w:val="26"/>
          <w:u w:val="single"/>
        </w:rPr>
        <w:t>Scope</w:t>
      </w:r>
      <w:r w:rsidR="00CB1E2F">
        <w:rPr>
          <w:b/>
          <w:i/>
          <w:sz w:val="26"/>
          <w:szCs w:val="26"/>
          <w:u w:val="single"/>
        </w:rPr>
        <w:t>:</w:t>
      </w:r>
    </w:p>
    <w:p w:rsidR="0035071E" w:rsidRDefault="0035071E" w:rsidP="00F651E6">
      <w:pPr>
        <w:pStyle w:val="ListParagraph"/>
        <w:jc w:val="both"/>
        <w:rPr>
          <w:rFonts w:asciiTheme="majorHAnsi" w:hAnsiTheme="majorHAnsi"/>
          <w:sz w:val="24"/>
          <w:szCs w:val="24"/>
        </w:rPr>
      </w:pPr>
    </w:p>
    <w:p w:rsidR="005E521B" w:rsidRPr="00653C62" w:rsidRDefault="005E521B" w:rsidP="00F651E6">
      <w:pPr>
        <w:pStyle w:val="ListParagraph"/>
        <w:jc w:val="both"/>
        <w:rPr>
          <w:rFonts w:asciiTheme="majorHAnsi" w:hAnsiTheme="majorHAnsi"/>
        </w:rPr>
      </w:pPr>
      <w:r w:rsidRPr="00653C62">
        <w:rPr>
          <w:rFonts w:asciiTheme="majorHAnsi" w:hAnsiTheme="majorHAnsi"/>
        </w:rPr>
        <w:t xml:space="preserve">This policy applies to the Board. </w:t>
      </w:r>
    </w:p>
    <w:p w:rsidR="00240683" w:rsidRPr="00D4163B" w:rsidRDefault="00240683" w:rsidP="00F651E6">
      <w:pPr>
        <w:pStyle w:val="ListParagraph"/>
        <w:jc w:val="both"/>
        <w:rPr>
          <w:rFonts w:asciiTheme="majorHAnsi" w:hAnsiTheme="majorHAnsi"/>
          <w:sz w:val="24"/>
          <w:szCs w:val="24"/>
        </w:rPr>
      </w:pPr>
    </w:p>
    <w:p w:rsidR="00240683" w:rsidRPr="00891562" w:rsidRDefault="00511EA1" w:rsidP="00240683">
      <w:pPr>
        <w:pStyle w:val="ListParagraph"/>
        <w:numPr>
          <w:ilvl w:val="0"/>
          <w:numId w:val="3"/>
        </w:numPr>
        <w:jc w:val="both"/>
        <w:rPr>
          <w:b/>
          <w:i/>
          <w:sz w:val="26"/>
          <w:szCs w:val="26"/>
          <w:u w:val="single"/>
        </w:rPr>
      </w:pPr>
      <w:r w:rsidRPr="00891562">
        <w:rPr>
          <w:b/>
          <w:i/>
          <w:sz w:val="26"/>
          <w:szCs w:val="26"/>
          <w:u w:val="single"/>
        </w:rPr>
        <w:t xml:space="preserve">Board Diversity </w:t>
      </w:r>
      <w:r w:rsidR="00CB1E2F">
        <w:rPr>
          <w:b/>
          <w:i/>
          <w:sz w:val="26"/>
          <w:szCs w:val="26"/>
          <w:u w:val="single"/>
        </w:rPr>
        <w:t>:</w:t>
      </w:r>
    </w:p>
    <w:p w:rsidR="00240683" w:rsidRDefault="00240683" w:rsidP="00240683">
      <w:pPr>
        <w:pStyle w:val="ListParagraph"/>
        <w:jc w:val="both"/>
        <w:rPr>
          <w:rFonts w:asciiTheme="majorHAnsi" w:hAnsiTheme="majorHAnsi"/>
          <w:b/>
          <w:sz w:val="24"/>
          <w:szCs w:val="24"/>
        </w:rPr>
      </w:pPr>
    </w:p>
    <w:p w:rsidR="00240683" w:rsidRPr="00240683" w:rsidRDefault="00240683" w:rsidP="00240683">
      <w:pPr>
        <w:pStyle w:val="ListParagraph"/>
        <w:jc w:val="both"/>
        <w:rPr>
          <w:rFonts w:asciiTheme="majorHAnsi" w:hAnsiTheme="majorHAnsi"/>
          <w:b/>
          <w:sz w:val="24"/>
          <w:szCs w:val="24"/>
        </w:rPr>
      </w:pPr>
      <w:r w:rsidRPr="00240683">
        <w:rPr>
          <w:rFonts w:asciiTheme="majorHAnsi" w:hAnsiTheme="majorHAnsi"/>
          <w:sz w:val="24"/>
          <w:szCs w:val="24"/>
        </w:rPr>
        <w:t xml:space="preserve">The Company believes that a truly diverse Board will leverage differences in thought, perspective, knowledge, skill, regional and industry experience, age, ethnicity, race and gender, which will help </w:t>
      </w:r>
      <w:proofErr w:type="gramStart"/>
      <w:r w:rsidRPr="00240683">
        <w:rPr>
          <w:rFonts w:asciiTheme="majorHAnsi" w:hAnsiTheme="majorHAnsi"/>
          <w:sz w:val="24"/>
          <w:szCs w:val="24"/>
        </w:rPr>
        <w:t>us</w:t>
      </w:r>
      <w:proofErr w:type="gramEnd"/>
      <w:r w:rsidRPr="00240683">
        <w:rPr>
          <w:rFonts w:asciiTheme="majorHAnsi" w:hAnsiTheme="majorHAnsi"/>
          <w:sz w:val="24"/>
          <w:szCs w:val="24"/>
        </w:rPr>
        <w:t xml:space="preserve"> retain our competitive advantage. The Board has adopted the Board Diversity Policy which sets out the approach to diversity of the Board of Directors and is available</w:t>
      </w:r>
      <w:r w:rsidRPr="00240683">
        <w:rPr>
          <w:rFonts w:asciiTheme="majorHAnsi" w:hAnsiTheme="majorHAnsi"/>
          <w:color w:val="FF0000"/>
          <w:sz w:val="24"/>
          <w:szCs w:val="24"/>
        </w:rPr>
        <w:t xml:space="preserve"> </w:t>
      </w:r>
      <w:r w:rsidRPr="00240683">
        <w:rPr>
          <w:rFonts w:asciiTheme="majorHAnsi" w:hAnsiTheme="majorHAnsi"/>
          <w:sz w:val="24"/>
          <w:szCs w:val="24"/>
        </w:rPr>
        <w:t xml:space="preserve">on the Company’s website: </w:t>
      </w:r>
      <w:hyperlink r:id="rId10" w:history="1">
        <w:r w:rsidRPr="00240683">
          <w:rPr>
            <w:rStyle w:val="Hyperlink"/>
            <w:rFonts w:asciiTheme="majorHAnsi" w:hAnsiTheme="majorHAnsi"/>
            <w:sz w:val="24"/>
            <w:szCs w:val="24"/>
          </w:rPr>
          <w:t>www.phytochemindia.com</w:t>
        </w:r>
      </w:hyperlink>
      <w:r w:rsidRPr="00240683">
        <w:rPr>
          <w:rFonts w:asciiTheme="majorHAnsi" w:hAnsiTheme="majorHAnsi"/>
          <w:sz w:val="24"/>
          <w:szCs w:val="24"/>
        </w:rPr>
        <w:t>.</w:t>
      </w:r>
    </w:p>
    <w:p w:rsidR="00240683" w:rsidRPr="006C4CD0" w:rsidRDefault="00240683" w:rsidP="00F651E6">
      <w:pPr>
        <w:pStyle w:val="ListParagraph"/>
        <w:jc w:val="both"/>
        <w:rPr>
          <w:rFonts w:asciiTheme="majorHAnsi" w:hAnsiTheme="majorHAnsi"/>
          <w:sz w:val="24"/>
          <w:szCs w:val="24"/>
        </w:rPr>
      </w:pPr>
    </w:p>
    <w:p w:rsidR="001866DB" w:rsidRPr="006C4CD0" w:rsidRDefault="001866DB" w:rsidP="00F651E6">
      <w:pPr>
        <w:pStyle w:val="ListParagraph"/>
        <w:jc w:val="both"/>
        <w:rPr>
          <w:rFonts w:asciiTheme="majorHAnsi" w:hAnsiTheme="majorHAnsi"/>
          <w:sz w:val="24"/>
          <w:szCs w:val="24"/>
        </w:rPr>
      </w:pPr>
    </w:p>
    <w:p w:rsidR="001866DB" w:rsidRPr="00891562" w:rsidRDefault="00511EA1" w:rsidP="00F651E6">
      <w:pPr>
        <w:pStyle w:val="ListParagraph"/>
        <w:numPr>
          <w:ilvl w:val="0"/>
          <w:numId w:val="3"/>
        </w:numPr>
        <w:jc w:val="both"/>
        <w:rPr>
          <w:b/>
          <w:i/>
          <w:sz w:val="26"/>
          <w:szCs w:val="26"/>
          <w:u w:val="single"/>
        </w:rPr>
      </w:pPr>
      <w:r w:rsidRPr="00891562">
        <w:rPr>
          <w:b/>
          <w:i/>
          <w:sz w:val="26"/>
          <w:szCs w:val="26"/>
          <w:u w:val="single"/>
        </w:rPr>
        <w:t>Policy Statement</w:t>
      </w:r>
      <w:r w:rsidR="00CB1E2F">
        <w:rPr>
          <w:b/>
          <w:i/>
          <w:sz w:val="26"/>
          <w:szCs w:val="26"/>
          <w:u w:val="single"/>
        </w:rPr>
        <w:t>:</w:t>
      </w:r>
    </w:p>
    <w:p w:rsidR="0035071E" w:rsidRDefault="0035071E" w:rsidP="00F651E6">
      <w:pPr>
        <w:pStyle w:val="ListParagraph"/>
        <w:jc w:val="both"/>
        <w:rPr>
          <w:rFonts w:asciiTheme="majorHAnsi" w:hAnsiTheme="majorHAnsi"/>
          <w:sz w:val="24"/>
          <w:szCs w:val="24"/>
        </w:rPr>
      </w:pPr>
    </w:p>
    <w:p w:rsidR="00C856CC" w:rsidRPr="00EF67E8" w:rsidRDefault="00C856CC" w:rsidP="00F651E6">
      <w:pPr>
        <w:pStyle w:val="ListParagraph"/>
        <w:jc w:val="both"/>
        <w:rPr>
          <w:rFonts w:asciiTheme="majorHAnsi" w:hAnsiTheme="majorHAnsi"/>
        </w:rPr>
      </w:pPr>
      <w:r w:rsidRPr="00EF67E8">
        <w:rPr>
          <w:rFonts w:asciiTheme="majorHAnsi" w:hAnsiTheme="majorHAnsi"/>
        </w:rPr>
        <w:t xml:space="preserve">The Company aims to enhance the effectiveness of the Board by diversifying it and obtain the benefit out of it by better and improved decision making. In order to ensure that the Company’s boardroom has appropriate balance of skills, experience and diversity of perspectives that are imperative for the execution of its business strategy, the Company shall consider a number of factors, including but not limited to skills, industry experience, background, race and gender. </w:t>
      </w:r>
    </w:p>
    <w:p w:rsidR="007C7D8D" w:rsidRPr="006C4CD0" w:rsidRDefault="007C7D8D" w:rsidP="00F651E6">
      <w:pPr>
        <w:pStyle w:val="ListParagraph"/>
        <w:jc w:val="both"/>
        <w:rPr>
          <w:rFonts w:asciiTheme="majorHAnsi" w:hAnsiTheme="majorHAnsi"/>
          <w:sz w:val="24"/>
          <w:szCs w:val="24"/>
        </w:rPr>
      </w:pPr>
    </w:p>
    <w:p w:rsidR="007C7D8D" w:rsidRPr="00EF67E8" w:rsidRDefault="00C7540B" w:rsidP="00F651E6">
      <w:pPr>
        <w:pStyle w:val="ListParagraph"/>
        <w:jc w:val="both"/>
        <w:rPr>
          <w:rFonts w:asciiTheme="majorHAnsi" w:hAnsiTheme="majorHAnsi"/>
        </w:rPr>
      </w:pPr>
      <w:r w:rsidRPr="00EF67E8">
        <w:rPr>
          <w:rFonts w:asciiTheme="majorHAnsi" w:hAnsiTheme="majorHAnsi"/>
        </w:rPr>
        <w:t>The Company believes th</w:t>
      </w:r>
      <w:r w:rsidR="007C7D8D" w:rsidRPr="00EF67E8">
        <w:rPr>
          <w:rFonts w:asciiTheme="majorHAnsi" w:hAnsiTheme="majorHAnsi"/>
        </w:rPr>
        <w:t>a</w:t>
      </w:r>
      <w:r w:rsidRPr="00EF67E8">
        <w:rPr>
          <w:rFonts w:asciiTheme="majorHAnsi" w:hAnsiTheme="majorHAnsi"/>
        </w:rPr>
        <w:t>t</w:t>
      </w:r>
      <w:r w:rsidR="007C7D8D" w:rsidRPr="00EF67E8">
        <w:rPr>
          <w:rFonts w:asciiTheme="majorHAnsi" w:hAnsiTheme="majorHAnsi"/>
        </w:rPr>
        <w:t xml:space="preserve"> diverse Board will contribute to the achievement of its strategic and commercial objectives, including to:</w:t>
      </w:r>
    </w:p>
    <w:p w:rsidR="00C7540B" w:rsidRPr="00EF67E8" w:rsidRDefault="00C7540B" w:rsidP="00F651E6">
      <w:pPr>
        <w:pStyle w:val="ListParagraph"/>
        <w:numPr>
          <w:ilvl w:val="0"/>
          <w:numId w:val="4"/>
        </w:numPr>
        <w:jc w:val="both"/>
        <w:rPr>
          <w:rFonts w:asciiTheme="majorHAnsi" w:hAnsiTheme="majorHAnsi"/>
        </w:rPr>
      </w:pPr>
      <w:r w:rsidRPr="00EF67E8">
        <w:rPr>
          <w:rFonts w:asciiTheme="majorHAnsi" w:hAnsiTheme="majorHAnsi"/>
        </w:rPr>
        <w:t>Drive business results;</w:t>
      </w:r>
    </w:p>
    <w:p w:rsidR="00C7540B" w:rsidRPr="00EF67E8" w:rsidRDefault="00C7540B" w:rsidP="00F651E6">
      <w:pPr>
        <w:pStyle w:val="ListParagraph"/>
        <w:numPr>
          <w:ilvl w:val="0"/>
          <w:numId w:val="4"/>
        </w:numPr>
        <w:jc w:val="both"/>
        <w:rPr>
          <w:rFonts w:asciiTheme="majorHAnsi" w:hAnsiTheme="majorHAnsi"/>
        </w:rPr>
      </w:pPr>
      <w:r w:rsidRPr="00EF67E8">
        <w:rPr>
          <w:rFonts w:asciiTheme="majorHAnsi" w:hAnsiTheme="majorHAnsi"/>
        </w:rPr>
        <w:t>Make  corporate governance more effective;</w:t>
      </w:r>
    </w:p>
    <w:p w:rsidR="00C7540B" w:rsidRPr="00EF67E8" w:rsidRDefault="00C7540B" w:rsidP="00F651E6">
      <w:pPr>
        <w:pStyle w:val="ListParagraph"/>
        <w:numPr>
          <w:ilvl w:val="0"/>
          <w:numId w:val="4"/>
        </w:numPr>
        <w:jc w:val="both"/>
        <w:rPr>
          <w:rFonts w:asciiTheme="majorHAnsi" w:hAnsiTheme="majorHAnsi"/>
        </w:rPr>
      </w:pPr>
      <w:r w:rsidRPr="00EF67E8">
        <w:rPr>
          <w:rFonts w:asciiTheme="majorHAnsi" w:hAnsiTheme="majorHAnsi"/>
        </w:rPr>
        <w:t>Enhance quality and responsible decision making capability;</w:t>
      </w:r>
    </w:p>
    <w:p w:rsidR="00C7540B" w:rsidRPr="00EF67E8" w:rsidRDefault="00C7540B" w:rsidP="00F651E6">
      <w:pPr>
        <w:pStyle w:val="ListParagraph"/>
        <w:numPr>
          <w:ilvl w:val="0"/>
          <w:numId w:val="4"/>
        </w:numPr>
        <w:jc w:val="both"/>
        <w:rPr>
          <w:rFonts w:asciiTheme="majorHAnsi" w:hAnsiTheme="majorHAnsi"/>
        </w:rPr>
      </w:pPr>
      <w:r w:rsidRPr="00EF67E8">
        <w:rPr>
          <w:rFonts w:asciiTheme="majorHAnsi" w:hAnsiTheme="majorHAnsi"/>
        </w:rPr>
        <w:t xml:space="preserve">Enhance the reputation of the Company </w:t>
      </w:r>
    </w:p>
    <w:p w:rsidR="000D4502" w:rsidRPr="00EF67E8" w:rsidRDefault="000D4502" w:rsidP="000D4502">
      <w:pPr>
        <w:pStyle w:val="ListParagraph"/>
        <w:jc w:val="both"/>
        <w:rPr>
          <w:rFonts w:asciiTheme="majorHAnsi" w:hAnsiTheme="majorHAnsi"/>
        </w:rPr>
      </w:pPr>
    </w:p>
    <w:p w:rsidR="00C856CC" w:rsidRPr="00EF67E8" w:rsidRDefault="00C856CC" w:rsidP="000D4502">
      <w:pPr>
        <w:pStyle w:val="ListParagraph"/>
        <w:jc w:val="both"/>
        <w:rPr>
          <w:rFonts w:asciiTheme="majorHAnsi" w:hAnsiTheme="majorHAnsi"/>
        </w:rPr>
      </w:pPr>
      <w:r w:rsidRPr="00EF67E8">
        <w:rPr>
          <w:rFonts w:asciiTheme="majorHAnsi" w:hAnsiTheme="majorHAnsi"/>
        </w:rPr>
        <w:t xml:space="preserve">The Policy shall conform to the following two principles for achieving diversity on its Board: </w:t>
      </w:r>
    </w:p>
    <w:p w:rsidR="000D4502" w:rsidRPr="000D4502" w:rsidRDefault="000D4502" w:rsidP="000D4502">
      <w:pPr>
        <w:pStyle w:val="ListParagraph"/>
        <w:jc w:val="both"/>
        <w:rPr>
          <w:rFonts w:asciiTheme="majorHAnsi" w:hAnsiTheme="majorHAnsi"/>
          <w:sz w:val="24"/>
          <w:szCs w:val="24"/>
        </w:rPr>
      </w:pPr>
    </w:p>
    <w:p w:rsidR="00C856CC" w:rsidRPr="00EF67E8" w:rsidRDefault="00C856CC" w:rsidP="00F651E6">
      <w:pPr>
        <w:pStyle w:val="ListParagraph"/>
        <w:numPr>
          <w:ilvl w:val="0"/>
          <w:numId w:val="1"/>
        </w:numPr>
        <w:jc w:val="both"/>
        <w:rPr>
          <w:rFonts w:asciiTheme="majorHAnsi" w:hAnsiTheme="majorHAnsi"/>
        </w:rPr>
      </w:pPr>
      <w:r w:rsidRPr="00EF67E8">
        <w:rPr>
          <w:rFonts w:asciiTheme="majorHAnsi" w:hAnsiTheme="majorHAnsi"/>
        </w:rPr>
        <w:t xml:space="preserve">Decisions pertaining to recruitment, promotion and remuneration of the directors will be based on their performance and competence; and </w:t>
      </w:r>
    </w:p>
    <w:p w:rsidR="00C856CC" w:rsidRPr="00EF67E8" w:rsidRDefault="00C856CC" w:rsidP="00F651E6">
      <w:pPr>
        <w:pStyle w:val="ListParagraph"/>
        <w:numPr>
          <w:ilvl w:val="0"/>
          <w:numId w:val="1"/>
        </w:numPr>
        <w:jc w:val="both"/>
        <w:rPr>
          <w:rFonts w:asciiTheme="majorHAnsi" w:hAnsiTheme="majorHAnsi"/>
        </w:rPr>
      </w:pPr>
      <w:r w:rsidRPr="00EF67E8">
        <w:rPr>
          <w:rFonts w:asciiTheme="majorHAnsi" w:hAnsiTheme="majorHAnsi"/>
        </w:rPr>
        <w:t xml:space="preserve">For embracing diversity and being inclusive, best practices to ensure fairness and equality shall be adopted and there shall be zero tolerance for unlawful discrimination and harassment of any sort whatsoever. </w:t>
      </w:r>
    </w:p>
    <w:p w:rsidR="00121BAB" w:rsidRPr="00EF67E8" w:rsidRDefault="00C856CC" w:rsidP="00F651E6">
      <w:pPr>
        <w:jc w:val="both"/>
        <w:rPr>
          <w:rFonts w:asciiTheme="majorHAnsi" w:hAnsiTheme="majorHAnsi"/>
        </w:rPr>
      </w:pPr>
      <w:r w:rsidRPr="00EF67E8">
        <w:rPr>
          <w:rFonts w:asciiTheme="majorHAnsi" w:hAnsiTheme="majorHAnsi"/>
        </w:rPr>
        <w:t>In order to ensure a</w:t>
      </w:r>
      <w:r w:rsidR="00064105" w:rsidRPr="00EF67E8">
        <w:rPr>
          <w:rFonts w:asciiTheme="majorHAnsi" w:hAnsiTheme="majorHAnsi"/>
        </w:rPr>
        <w:t xml:space="preserve">n optimum combination </w:t>
      </w:r>
      <w:r w:rsidRPr="00EF67E8">
        <w:rPr>
          <w:rFonts w:asciiTheme="majorHAnsi" w:hAnsiTheme="majorHAnsi"/>
        </w:rPr>
        <w:t>of executive, non-executive and independent directors</w:t>
      </w:r>
      <w:r w:rsidR="00B2756B" w:rsidRPr="00EF67E8">
        <w:rPr>
          <w:rFonts w:asciiTheme="majorHAnsi" w:hAnsiTheme="majorHAnsi"/>
        </w:rPr>
        <w:t xml:space="preserve"> on the Board</w:t>
      </w:r>
      <w:r w:rsidRPr="00EF67E8">
        <w:rPr>
          <w:rFonts w:asciiTheme="majorHAnsi" w:hAnsiTheme="majorHAnsi"/>
        </w:rPr>
        <w:t xml:space="preserve"> </w:t>
      </w:r>
      <w:r w:rsidR="00B2756B" w:rsidRPr="00EF67E8">
        <w:rPr>
          <w:rFonts w:asciiTheme="majorHAnsi" w:hAnsiTheme="majorHAnsi"/>
        </w:rPr>
        <w:t>in accordance with requirements of Article of Association of the Company, the Companies Act</w:t>
      </w:r>
      <w:r w:rsidR="00DC6618" w:rsidRPr="00EF67E8">
        <w:rPr>
          <w:rFonts w:asciiTheme="majorHAnsi" w:hAnsiTheme="majorHAnsi"/>
        </w:rPr>
        <w:t>,</w:t>
      </w:r>
      <w:r w:rsidR="00B2756B" w:rsidRPr="00EF67E8">
        <w:rPr>
          <w:rFonts w:asciiTheme="majorHAnsi" w:hAnsiTheme="majorHAnsi"/>
        </w:rPr>
        <w:t xml:space="preserve"> 2013 and Listing Agreement, </w:t>
      </w:r>
      <w:r w:rsidRPr="00EF67E8">
        <w:rPr>
          <w:rFonts w:asciiTheme="majorHAnsi" w:hAnsiTheme="majorHAnsi"/>
        </w:rPr>
        <w:t xml:space="preserve">the Company shall consider candidates from a wide variety of backgrounds, without discrimination based on the following factors: </w:t>
      </w:r>
      <w:r w:rsidRPr="00EF67E8">
        <w:rPr>
          <w:rFonts w:asciiTheme="majorHAnsi" w:hAnsiTheme="majorHAnsi"/>
        </w:rPr>
        <w:cr/>
      </w:r>
    </w:p>
    <w:p w:rsidR="001B2B52" w:rsidRPr="00EF67E8" w:rsidRDefault="001D7D33" w:rsidP="00F651E6">
      <w:pPr>
        <w:pStyle w:val="ListParagraph"/>
        <w:numPr>
          <w:ilvl w:val="0"/>
          <w:numId w:val="5"/>
        </w:numPr>
        <w:jc w:val="both"/>
        <w:rPr>
          <w:rFonts w:asciiTheme="majorHAnsi" w:hAnsiTheme="majorHAnsi"/>
        </w:rPr>
      </w:pPr>
      <w:r w:rsidRPr="00EF67E8">
        <w:rPr>
          <w:rFonts w:asciiTheme="majorHAnsi" w:hAnsiTheme="majorHAnsi"/>
        </w:rPr>
        <w:t xml:space="preserve">Gender  </w:t>
      </w:r>
    </w:p>
    <w:p w:rsidR="001B2B52" w:rsidRPr="00EF67E8" w:rsidRDefault="001D7D33" w:rsidP="00F651E6">
      <w:pPr>
        <w:pStyle w:val="ListParagraph"/>
        <w:numPr>
          <w:ilvl w:val="0"/>
          <w:numId w:val="5"/>
        </w:numPr>
        <w:jc w:val="both"/>
        <w:rPr>
          <w:rFonts w:asciiTheme="majorHAnsi" w:hAnsiTheme="majorHAnsi"/>
        </w:rPr>
      </w:pPr>
      <w:r w:rsidRPr="00EF67E8">
        <w:rPr>
          <w:rFonts w:asciiTheme="majorHAnsi" w:hAnsiTheme="majorHAnsi" w:cs="Comic Sans MS"/>
        </w:rPr>
        <w:t>Age</w:t>
      </w:r>
    </w:p>
    <w:p w:rsidR="001B2B52" w:rsidRPr="00EF67E8" w:rsidRDefault="001D7D33" w:rsidP="00F651E6">
      <w:pPr>
        <w:pStyle w:val="ListParagraph"/>
        <w:numPr>
          <w:ilvl w:val="0"/>
          <w:numId w:val="5"/>
        </w:numPr>
        <w:jc w:val="both"/>
        <w:rPr>
          <w:rFonts w:asciiTheme="majorHAnsi" w:hAnsiTheme="majorHAnsi"/>
        </w:rPr>
      </w:pPr>
      <w:r w:rsidRPr="00EF67E8">
        <w:rPr>
          <w:rFonts w:asciiTheme="majorHAnsi" w:hAnsiTheme="majorHAnsi" w:cs="Comic Sans MS"/>
        </w:rPr>
        <w:t>Nationality and ethnicity</w:t>
      </w:r>
    </w:p>
    <w:p w:rsidR="001D7D33" w:rsidRPr="00EF67E8" w:rsidRDefault="001D7D33" w:rsidP="00F651E6">
      <w:pPr>
        <w:pStyle w:val="ListParagraph"/>
        <w:numPr>
          <w:ilvl w:val="0"/>
          <w:numId w:val="5"/>
        </w:numPr>
        <w:jc w:val="both"/>
        <w:rPr>
          <w:rFonts w:asciiTheme="majorHAnsi" w:hAnsiTheme="majorHAnsi"/>
        </w:rPr>
      </w:pPr>
      <w:r w:rsidRPr="00EF67E8">
        <w:rPr>
          <w:rFonts w:asciiTheme="majorHAnsi" w:hAnsiTheme="majorHAnsi" w:cs="Comic Sans MS"/>
        </w:rPr>
        <w:t xml:space="preserve">Physical disability </w:t>
      </w:r>
    </w:p>
    <w:p w:rsidR="001D7D33" w:rsidRPr="00EF67E8" w:rsidRDefault="001D7D33" w:rsidP="00F651E6">
      <w:pPr>
        <w:pStyle w:val="ListParagraph"/>
        <w:numPr>
          <w:ilvl w:val="0"/>
          <w:numId w:val="5"/>
        </w:numPr>
        <w:jc w:val="both"/>
        <w:rPr>
          <w:rFonts w:asciiTheme="majorHAnsi" w:hAnsiTheme="majorHAnsi"/>
        </w:rPr>
      </w:pPr>
      <w:r w:rsidRPr="00EF67E8">
        <w:rPr>
          <w:rFonts w:asciiTheme="majorHAnsi" w:hAnsiTheme="majorHAnsi" w:cs="Comic Sans MS"/>
        </w:rPr>
        <w:t>Educational qualificatio</w:t>
      </w:r>
      <w:r w:rsidRPr="00EF67E8">
        <w:rPr>
          <w:rFonts w:asciiTheme="majorHAnsi" w:hAnsiTheme="majorHAnsi"/>
        </w:rPr>
        <w:t>n</w:t>
      </w:r>
    </w:p>
    <w:p w:rsidR="00433608" w:rsidRPr="006C4CD0" w:rsidRDefault="00433608" w:rsidP="00F651E6">
      <w:pPr>
        <w:pStyle w:val="ListParagraph"/>
        <w:jc w:val="both"/>
        <w:rPr>
          <w:rFonts w:asciiTheme="majorHAnsi" w:hAnsiTheme="majorHAnsi"/>
          <w:sz w:val="24"/>
          <w:szCs w:val="24"/>
        </w:rPr>
      </w:pPr>
    </w:p>
    <w:p w:rsidR="00433608" w:rsidRPr="00891562" w:rsidRDefault="00511EA1" w:rsidP="00F651E6">
      <w:pPr>
        <w:pStyle w:val="ListParagraph"/>
        <w:numPr>
          <w:ilvl w:val="0"/>
          <w:numId w:val="3"/>
        </w:numPr>
        <w:jc w:val="both"/>
        <w:rPr>
          <w:b/>
          <w:i/>
          <w:sz w:val="26"/>
          <w:szCs w:val="26"/>
          <w:u w:val="single"/>
        </w:rPr>
      </w:pPr>
      <w:r w:rsidRPr="00891562">
        <w:rPr>
          <w:b/>
          <w:i/>
          <w:sz w:val="26"/>
          <w:szCs w:val="26"/>
          <w:u w:val="single"/>
        </w:rPr>
        <w:t>Responsibility and Review</w:t>
      </w:r>
      <w:r w:rsidR="00CB1E2F">
        <w:rPr>
          <w:b/>
          <w:i/>
          <w:sz w:val="26"/>
          <w:szCs w:val="26"/>
          <w:u w:val="single"/>
        </w:rPr>
        <w:t>:</w:t>
      </w:r>
    </w:p>
    <w:p w:rsidR="00EF67E8" w:rsidRPr="00EF67E8" w:rsidRDefault="00EF67E8" w:rsidP="00EF67E8">
      <w:pPr>
        <w:pStyle w:val="ListParagraph"/>
        <w:jc w:val="both"/>
        <w:rPr>
          <w:rFonts w:asciiTheme="majorHAnsi" w:hAnsiTheme="majorHAnsi"/>
          <w:b/>
          <w:i/>
          <w:sz w:val="24"/>
          <w:szCs w:val="24"/>
        </w:rPr>
      </w:pPr>
    </w:p>
    <w:p w:rsidR="00433608" w:rsidRPr="006C4CD0" w:rsidRDefault="00433608" w:rsidP="00EF67E8">
      <w:pPr>
        <w:pStyle w:val="ListParagraph"/>
        <w:jc w:val="both"/>
        <w:rPr>
          <w:rFonts w:asciiTheme="majorHAnsi" w:hAnsiTheme="majorHAnsi"/>
          <w:sz w:val="24"/>
          <w:szCs w:val="24"/>
        </w:rPr>
      </w:pPr>
      <w:r w:rsidRPr="006C4CD0">
        <w:rPr>
          <w:rFonts w:asciiTheme="majorHAnsi" w:hAnsiTheme="majorHAnsi"/>
          <w:sz w:val="24"/>
          <w:szCs w:val="24"/>
        </w:rPr>
        <w:t>The Nomination and Remuneration Committee is responsible for reviewing and assessing the composition and performance of the Board, as well as identifying appropriately qualified persons to occupy Board positions.</w:t>
      </w:r>
    </w:p>
    <w:p w:rsidR="001B2B52" w:rsidRPr="006C4CD0" w:rsidRDefault="001B2B52" w:rsidP="00F651E6">
      <w:pPr>
        <w:pStyle w:val="ListParagraph"/>
        <w:jc w:val="both"/>
        <w:rPr>
          <w:rFonts w:asciiTheme="majorHAnsi" w:hAnsiTheme="majorHAnsi"/>
          <w:sz w:val="24"/>
          <w:szCs w:val="24"/>
        </w:rPr>
      </w:pPr>
    </w:p>
    <w:sectPr w:rsidR="001B2B52" w:rsidRPr="006C4CD0" w:rsidSect="008D0CCB">
      <w:pgSz w:w="11907" w:h="16839"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3997"/>
      </v:shape>
    </w:pict>
  </w:numPicBullet>
  <w:abstractNum w:abstractNumId="0">
    <w:nsid w:val="14703570"/>
    <w:multiLevelType w:val="hybridMultilevel"/>
    <w:tmpl w:val="B31CD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86812"/>
    <w:multiLevelType w:val="hybridMultilevel"/>
    <w:tmpl w:val="AC68B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5271E4"/>
    <w:multiLevelType w:val="hybridMultilevel"/>
    <w:tmpl w:val="041E2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BE038B"/>
    <w:multiLevelType w:val="hybridMultilevel"/>
    <w:tmpl w:val="1A3CB6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16093"/>
    <w:multiLevelType w:val="hybridMultilevel"/>
    <w:tmpl w:val="7812C0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20"/>
  <w:drawingGridHorizontalSpacing w:val="110"/>
  <w:displayHorizontalDrawingGridEvery w:val="2"/>
  <w:characterSpacingControl w:val="doNotCompress"/>
  <w:compat>
    <w:useFELayout/>
  </w:compat>
  <w:rsids>
    <w:rsidRoot w:val="00C856CC"/>
    <w:rsid w:val="00030EC3"/>
    <w:rsid w:val="00064105"/>
    <w:rsid w:val="000D4502"/>
    <w:rsid w:val="000F6781"/>
    <w:rsid w:val="001033AF"/>
    <w:rsid w:val="00121BAB"/>
    <w:rsid w:val="00145A74"/>
    <w:rsid w:val="001866DB"/>
    <w:rsid w:val="001A3222"/>
    <w:rsid w:val="001B2B52"/>
    <w:rsid w:val="001D7D33"/>
    <w:rsid w:val="001E3B00"/>
    <w:rsid w:val="002108B0"/>
    <w:rsid w:val="002111FD"/>
    <w:rsid w:val="00240683"/>
    <w:rsid w:val="002B1E08"/>
    <w:rsid w:val="002C531A"/>
    <w:rsid w:val="0035071E"/>
    <w:rsid w:val="00352339"/>
    <w:rsid w:val="00355FC1"/>
    <w:rsid w:val="00374100"/>
    <w:rsid w:val="003C2963"/>
    <w:rsid w:val="00433608"/>
    <w:rsid w:val="00443482"/>
    <w:rsid w:val="004C67A8"/>
    <w:rsid w:val="004E5CB9"/>
    <w:rsid w:val="00511EA1"/>
    <w:rsid w:val="00535458"/>
    <w:rsid w:val="00592911"/>
    <w:rsid w:val="005E521B"/>
    <w:rsid w:val="006159BD"/>
    <w:rsid w:val="00653C62"/>
    <w:rsid w:val="00655AA3"/>
    <w:rsid w:val="0069105C"/>
    <w:rsid w:val="006C4CD0"/>
    <w:rsid w:val="007C7D8D"/>
    <w:rsid w:val="007F20C7"/>
    <w:rsid w:val="00864C16"/>
    <w:rsid w:val="00891562"/>
    <w:rsid w:val="008D0CCB"/>
    <w:rsid w:val="009669AD"/>
    <w:rsid w:val="009717CB"/>
    <w:rsid w:val="009C5A2F"/>
    <w:rsid w:val="009D780C"/>
    <w:rsid w:val="00A11D92"/>
    <w:rsid w:val="00A531CF"/>
    <w:rsid w:val="00A56192"/>
    <w:rsid w:val="00A64754"/>
    <w:rsid w:val="00B2756B"/>
    <w:rsid w:val="00BD1B91"/>
    <w:rsid w:val="00BF2380"/>
    <w:rsid w:val="00C11493"/>
    <w:rsid w:val="00C4288D"/>
    <w:rsid w:val="00C7540B"/>
    <w:rsid w:val="00C856CC"/>
    <w:rsid w:val="00CB1E2F"/>
    <w:rsid w:val="00D26CDB"/>
    <w:rsid w:val="00D33179"/>
    <w:rsid w:val="00D4163B"/>
    <w:rsid w:val="00DC6618"/>
    <w:rsid w:val="00ED3E61"/>
    <w:rsid w:val="00EF67E8"/>
    <w:rsid w:val="00F651E6"/>
    <w:rsid w:val="00FA0C4D"/>
    <w:rsid w:val="00FD4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6CC"/>
    <w:pPr>
      <w:ind w:left="720"/>
      <w:contextualSpacing/>
    </w:pPr>
  </w:style>
  <w:style w:type="character" w:styleId="Hyperlink">
    <w:name w:val="Hyperlink"/>
    <w:basedOn w:val="DefaultParagraphFont"/>
    <w:uiPriority w:val="99"/>
    <w:unhideWhenUsed/>
    <w:rsid w:val="009C5A2F"/>
    <w:rPr>
      <w:color w:val="0000FF" w:themeColor="hyperlink"/>
      <w:u w:val="single"/>
    </w:rPr>
  </w:style>
  <w:style w:type="paragraph" w:styleId="BalloonText">
    <w:name w:val="Balloon Text"/>
    <w:basedOn w:val="Normal"/>
    <w:link w:val="BalloonTextChar"/>
    <w:uiPriority w:val="99"/>
    <w:semiHidden/>
    <w:unhideWhenUsed/>
    <w:rsid w:val="002B1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08"/>
    <w:rPr>
      <w:rFonts w:ascii="Tahoma" w:hAnsi="Tahoma" w:cs="Tahoma"/>
      <w:sz w:val="16"/>
      <w:szCs w:val="16"/>
    </w:rPr>
  </w:style>
  <w:style w:type="paragraph" w:styleId="NormalWeb">
    <w:name w:val="Normal (Web)"/>
    <w:basedOn w:val="Normal"/>
    <w:uiPriority w:val="99"/>
    <w:semiHidden/>
    <w:unhideWhenUsed/>
    <w:rsid w:val="002B1E08"/>
    <w:pPr>
      <w:spacing w:before="100" w:beforeAutospacing="1" w:after="119"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tochem@phytochemindia.com" TargetMode="External"/><Relationship Id="rId3" Type="http://schemas.openxmlformats.org/officeDocument/2006/relationships/settings" Target="settings.xml"/><Relationship Id="rId7" Type="http://schemas.openxmlformats.org/officeDocument/2006/relationships/hyperlink" Target="http://www.phytochemindia.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phytochemindia.com" TargetMode="External"/><Relationship Id="rId4" Type="http://schemas.openxmlformats.org/officeDocument/2006/relationships/webSettings" Target="webSettings.xml"/><Relationship Id="rId9" Type="http://schemas.openxmlformats.org/officeDocument/2006/relationships/hyperlink" Target="mailto:info@phytochemind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NANDYALA-3</dc:creator>
  <cp:keywords/>
  <dc:description/>
  <cp:lastModifiedBy>fm</cp:lastModifiedBy>
  <cp:revision>14</cp:revision>
  <dcterms:created xsi:type="dcterms:W3CDTF">2015-08-31T10:36:00Z</dcterms:created>
  <dcterms:modified xsi:type="dcterms:W3CDTF">2015-09-09T11:30:00Z</dcterms:modified>
</cp:coreProperties>
</file>