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26" w:rsidRDefault="00006426" w:rsidP="000064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06426" w:rsidRDefault="00006426" w:rsidP="000064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006426" w:rsidRDefault="00006426" w:rsidP="000064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006426" w:rsidRPr="00006426" w:rsidRDefault="00006426" w:rsidP="00006426">
      <w:pPr>
        <w:tabs>
          <w:tab w:val="left" w:pos="6195"/>
          <w:tab w:val="left" w:pos="7875"/>
        </w:tabs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1657350" cy="20955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426" w:rsidRDefault="00006426" w:rsidP="000064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sz w:val="48"/>
          <w:szCs w:val="48"/>
          <w:u w:val="single"/>
        </w:rPr>
      </w:pPr>
    </w:p>
    <w:p w:rsidR="00006426" w:rsidRDefault="00006426" w:rsidP="0000642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rFonts w:cstheme="minorHAnsi"/>
          <w:b/>
          <w:bCs/>
          <w:i/>
          <w:sz w:val="48"/>
          <w:szCs w:val="48"/>
          <w:u w:val="single"/>
        </w:rPr>
        <w:t>Archival Policy</w:t>
      </w:r>
    </w:p>
    <w:p w:rsidR="00006426" w:rsidRDefault="00006426" w:rsidP="00006426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</w:p>
    <w:p w:rsidR="00006426" w:rsidRDefault="00006426" w:rsidP="0000642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3124200</wp:posOffset>
            </wp:positionH>
            <wp:positionV relativeFrom="page">
              <wp:posOffset>4324350</wp:posOffset>
            </wp:positionV>
            <wp:extent cx="1323975" cy="167640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764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B050"/>
                        </a:gs>
                        <a:gs pos="100000">
                          <a:srgbClr val="00B050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426" w:rsidRDefault="00006426" w:rsidP="0000642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6"/>
          <w:szCs w:val="36"/>
        </w:rPr>
      </w:pPr>
    </w:p>
    <w:p w:rsidR="00006426" w:rsidRDefault="00006426" w:rsidP="0000642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6"/>
          <w:szCs w:val="36"/>
        </w:rPr>
      </w:pPr>
    </w:p>
    <w:p w:rsidR="00006426" w:rsidRDefault="00006426" w:rsidP="0000642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6"/>
          <w:szCs w:val="36"/>
        </w:rPr>
      </w:pPr>
    </w:p>
    <w:p w:rsidR="00006426" w:rsidRDefault="00006426" w:rsidP="0000642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48"/>
          <w:szCs w:val="48"/>
        </w:rPr>
      </w:pPr>
    </w:p>
    <w:p w:rsidR="00006426" w:rsidRDefault="00006426" w:rsidP="0000642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48"/>
          <w:szCs w:val="48"/>
        </w:rPr>
      </w:pPr>
    </w:p>
    <w:p w:rsidR="00006426" w:rsidRDefault="00006426" w:rsidP="0000642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48"/>
          <w:szCs w:val="48"/>
        </w:rPr>
      </w:pPr>
    </w:p>
    <w:p w:rsidR="00006426" w:rsidRDefault="00006426" w:rsidP="0000642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48"/>
          <w:szCs w:val="48"/>
        </w:rPr>
      </w:pPr>
      <w:proofErr w:type="spellStart"/>
      <w:r w:rsidRPr="000E38E4">
        <w:rPr>
          <w:b/>
          <w:bCs/>
          <w:i/>
          <w:iCs/>
          <w:sz w:val="48"/>
          <w:szCs w:val="48"/>
        </w:rPr>
        <w:t>Phyto</w:t>
      </w:r>
      <w:proofErr w:type="spellEnd"/>
      <w:r w:rsidRPr="000E38E4">
        <w:rPr>
          <w:b/>
          <w:bCs/>
          <w:i/>
          <w:iCs/>
          <w:sz w:val="48"/>
          <w:szCs w:val="48"/>
        </w:rPr>
        <w:t xml:space="preserve"> </w:t>
      </w:r>
      <w:proofErr w:type="spellStart"/>
      <w:r w:rsidRPr="000E38E4">
        <w:rPr>
          <w:b/>
          <w:bCs/>
          <w:i/>
          <w:iCs/>
          <w:sz w:val="48"/>
          <w:szCs w:val="48"/>
        </w:rPr>
        <w:t>Chem</w:t>
      </w:r>
      <w:proofErr w:type="spellEnd"/>
      <w:r w:rsidRPr="000E38E4">
        <w:rPr>
          <w:b/>
          <w:bCs/>
          <w:i/>
          <w:iCs/>
          <w:sz w:val="48"/>
          <w:szCs w:val="48"/>
        </w:rPr>
        <w:t xml:space="preserve"> (India) Limited</w:t>
      </w:r>
    </w:p>
    <w:p w:rsidR="00006426" w:rsidRPr="0081696D" w:rsidRDefault="00006426" w:rsidP="0000642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48"/>
          <w:szCs w:val="48"/>
        </w:rPr>
      </w:pPr>
      <w:r w:rsidRPr="001806D2">
        <w:rPr>
          <w:b/>
          <w:bCs/>
          <w:sz w:val="26"/>
          <w:szCs w:val="26"/>
        </w:rPr>
        <w:t>CIN: L24110TG1989PLC009500</w:t>
      </w:r>
    </w:p>
    <w:p w:rsidR="00006426" w:rsidRPr="001806D2" w:rsidRDefault="00006426" w:rsidP="0000642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6"/>
          <w:szCs w:val="36"/>
        </w:rPr>
      </w:pPr>
      <w:r w:rsidRPr="001806D2">
        <w:rPr>
          <w:b/>
          <w:bCs/>
          <w:sz w:val="26"/>
          <w:szCs w:val="26"/>
        </w:rPr>
        <w:t>Registered Office: Survey No.628, Temple Street,</w:t>
      </w:r>
    </w:p>
    <w:p w:rsidR="00006426" w:rsidRPr="001806D2" w:rsidRDefault="00006426" w:rsidP="0000642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  <w:r w:rsidRPr="001806D2">
        <w:rPr>
          <w:b/>
          <w:bCs/>
          <w:sz w:val="26"/>
          <w:szCs w:val="26"/>
        </w:rPr>
        <w:t xml:space="preserve">Bonthapally-502 313, </w:t>
      </w:r>
      <w:proofErr w:type="spellStart"/>
      <w:r w:rsidRPr="001806D2">
        <w:rPr>
          <w:b/>
          <w:bCs/>
          <w:sz w:val="26"/>
          <w:szCs w:val="26"/>
        </w:rPr>
        <w:t>Jinnaram</w:t>
      </w:r>
      <w:proofErr w:type="spellEnd"/>
      <w:r w:rsidRPr="001806D2">
        <w:rPr>
          <w:b/>
          <w:bCs/>
          <w:sz w:val="26"/>
          <w:szCs w:val="26"/>
        </w:rPr>
        <w:t xml:space="preserve"> </w:t>
      </w:r>
      <w:proofErr w:type="spellStart"/>
      <w:r w:rsidRPr="001806D2">
        <w:rPr>
          <w:b/>
          <w:bCs/>
          <w:sz w:val="26"/>
          <w:szCs w:val="26"/>
        </w:rPr>
        <w:t>Mandal</w:t>
      </w:r>
      <w:proofErr w:type="spellEnd"/>
      <w:r w:rsidRPr="001806D2">
        <w:rPr>
          <w:b/>
          <w:bCs/>
          <w:sz w:val="26"/>
          <w:szCs w:val="26"/>
        </w:rPr>
        <w:t>,</w:t>
      </w:r>
    </w:p>
    <w:p w:rsidR="00006426" w:rsidRPr="001806D2" w:rsidRDefault="00006426" w:rsidP="0000642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  <w:proofErr w:type="spellStart"/>
      <w:proofErr w:type="gramStart"/>
      <w:r w:rsidRPr="001806D2">
        <w:rPr>
          <w:b/>
          <w:bCs/>
          <w:sz w:val="26"/>
          <w:szCs w:val="26"/>
        </w:rPr>
        <w:t>Medak</w:t>
      </w:r>
      <w:proofErr w:type="spellEnd"/>
      <w:r w:rsidRPr="001806D2">
        <w:rPr>
          <w:b/>
          <w:bCs/>
          <w:sz w:val="26"/>
          <w:szCs w:val="26"/>
        </w:rPr>
        <w:t xml:space="preserve"> District, </w:t>
      </w:r>
      <w:proofErr w:type="spellStart"/>
      <w:r w:rsidRPr="001806D2">
        <w:rPr>
          <w:b/>
          <w:bCs/>
          <w:sz w:val="26"/>
          <w:szCs w:val="26"/>
        </w:rPr>
        <w:t>Telangana</w:t>
      </w:r>
      <w:proofErr w:type="spellEnd"/>
      <w:r w:rsidRPr="001806D2">
        <w:rPr>
          <w:b/>
          <w:bCs/>
          <w:sz w:val="26"/>
          <w:szCs w:val="26"/>
        </w:rPr>
        <w:t xml:space="preserve"> State.</w:t>
      </w:r>
      <w:proofErr w:type="gramEnd"/>
    </w:p>
    <w:p w:rsidR="00006426" w:rsidRDefault="00006426" w:rsidP="0000642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  <w:r w:rsidRPr="001806D2">
        <w:rPr>
          <w:b/>
          <w:bCs/>
          <w:sz w:val="26"/>
          <w:szCs w:val="26"/>
        </w:rPr>
        <w:t xml:space="preserve">Corporate office:  8-3-229/23, First Floor, </w:t>
      </w:r>
      <w:proofErr w:type="spellStart"/>
      <w:r w:rsidRPr="001806D2">
        <w:rPr>
          <w:b/>
          <w:bCs/>
          <w:sz w:val="26"/>
          <w:szCs w:val="26"/>
        </w:rPr>
        <w:t>Thaherville</w:t>
      </w:r>
      <w:proofErr w:type="spellEnd"/>
      <w:r w:rsidRPr="001806D2">
        <w:rPr>
          <w:b/>
          <w:bCs/>
          <w:sz w:val="26"/>
          <w:szCs w:val="26"/>
        </w:rPr>
        <w:t>,</w:t>
      </w:r>
    </w:p>
    <w:p w:rsidR="00006426" w:rsidRPr="001806D2" w:rsidRDefault="00006426" w:rsidP="0000642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  <w:proofErr w:type="spellStart"/>
      <w:proofErr w:type="gramStart"/>
      <w:r w:rsidRPr="001806D2">
        <w:rPr>
          <w:b/>
          <w:bCs/>
          <w:sz w:val="26"/>
          <w:szCs w:val="26"/>
        </w:rPr>
        <w:t>Yousufguda</w:t>
      </w:r>
      <w:proofErr w:type="spellEnd"/>
      <w:r w:rsidRPr="001806D2">
        <w:rPr>
          <w:b/>
          <w:bCs/>
          <w:sz w:val="26"/>
          <w:szCs w:val="26"/>
        </w:rPr>
        <w:t xml:space="preserve"> </w:t>
      </w:r>
      <w:proofErr w:type="spellStart"/>
      <w:r w:rsidRPr="001806D2">
        <w:rPr>
          <w:b/>
          <w:bCs/>
          <w:sz w:val="26"/>
          <w:szCs w:val="26"/>
        </w:rPr>
        <w:t>Checkpost</w:t>
      </w:r>
      <w:proofErr w:type="spellEnd"/>
      <w:r w:rsidRPr="001806D2">
        <w:rPr>
          <w:b/>
          <w:bCs/>
          <w:sz w:val="26"/>
          <w:szCs w:val="26"/>
        </w:rPr>
        <w:t>, Hyderabad – 500 045</w:t>
      </w:r>
      <w:r>
        <w:rPr>
          <w:b/>
          <w:bCs/>
          <w:sz w:val="26"/>
          <w:szCs w:val="26"/>
        </w:rPr>
        <w:t>.</w:t>
      </w:r>
      <w:proofErr w:type="gramEnd"/>
    </w:p>
    <w:p w:rsidR="00006426" w:rsidRDefault="00006426" w:rsidP="0000642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006426" w:rsidRPr="00F3644F" w:rsidRDefault="00006426" w:rsidP="0000642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F3644F">
        <w:rPr>
          <w:b/>
          <w:bCs/>
          <w:sz w:val="28"/>
          <w:szCs w:val="28"/>
        </w:rPr>
        <w:t>Tel:  +91-40-23557712</w:t>
      </w:r>
      <w:r>
        <w:rPr>
          <w:b/>
          <w:bCs/>
          <w:sz w:val="28"/>
          <w:szCs w:val="28"/>
        </w:rPr>
        <w:t xml:space="preserve">, </w:t>
      </w:r>
      <w:r w:rsidRPr="00F3644F">
        <w:rPr>
          <w:b/>
          <w:bCs/>
          <w:sz w:val="28"/>
          <w:szCs w:val="28"/>
        </w:rPr>
        <w:t>23557713</w:t>
      </w:r>
      <w:r>
        <w:rPr>
          <w:b/>
          <w:bCs/>
          <w:sz w:val="28"/>
          <w:szCs w:val="28"/>
        </w:rPr>
        <w:t xml:space="preserve">, </w:t>
      </w:r>
      <w:r w:rsidRPr="00F3644F">
        <w:rPr>
          <w:b/>
          <w:bCs/>
          <w:sz w:val="28"/>
          <w:szCs w:val="28"/>
        </w:rPr>
        <w:t>Fax: +91-40-23557714</w:t>
      </w:r>
    </w:p>
    <w:p w:rsidR="00006426" w:rsidRPr="00F3644F" w:rsidRDefault="00006426" w:rsidP="0000642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F3644F">
        <w:rPr>
          <w:b/>
          <w:bCs/>
          <w:sz w:val="28"/>
          <w:szCs w:val="28"/>
        </w:rPr>
        <w:t xml:space="preserve">Website: </w:t>
      </w:r>
      <w:hyperlink r:id="rId6" w:tgtFrame="_blank" w:history="1">
        <w:r w:rsidRPr="00F3644F">
          <w:rPr>
            <w:rStyle w:val="Hyperlink"/>
            <w:b/>
            <w:bCs/>
            <w:sz w:val="28"/>
            <w:szCs w:val="28"/>
          </w:rPr>
          <w:t>www.phytochemindia.com</w:t>
        </w:r>
      </w:hyperlink>
    </w:p>
    <w:p w:rsidR="00006426" w:rsidRDefault="00006426" w:rsidP="00006426">
      <w:pPr>
        <w:autoSpaceDE w:val="0"/>
        <w:autoSpaceDN w:val="0"/>
        <w:adjustRightInd w:val="0"/>
        <w:spacing w:after="0" w:line="240" w:lineRule="auto"/>
        <w:jc w:val="center"/>
      </w:pPr>
      <w:r w:rsidRPr="00F3644F">
        <w:rPr>
          <w:b/>
          <w:bCs/>
          <w:sz w:val="28"/>
          <w:szCs w:val="28"/>
        </w:rPr>
        <w:t xml:space="preserve">Email: </w:t>
      </w:r>
      <w:hyperlink r:id="rId7" w:history="1">
        <w:r w:rsidRPr="00F3644F">
          <w:rPr>
            <w:rStyle w:val="Hyperlink"/>
            <w:b/>
            <w:bCs/>
            <w:sz w:val="28"/>
            <w:szCs w:val="28"/>
          </w:rPr>
          <w:t>phytochem@phytochemindia.com</w:t>
        </w:r>
      </w:hyperlink>
    </w:p>
    <w:p w:rsidR="00006426" w:rsidRPr="00006426" w:rsidRDefault="00015878" w:rsidP="00006426">
      <w:pPr>
        <w:autoSpaceDE w:val="0"/>
        <w:autoSpaceDN w:val="0"/>
        <w:adjustRightInd w:val="0"/>
        <w:spacing w:after="0" w:line="240" w:lineRule="auto"/>
        <w:jc w:val="center"/>
      </w:pPr>
      <w:hyperlink r:id="rId8" w:history="1">
        <w:r w:rsidR="00006426" w:rsidRPr="00BD2D28">
          <w:rPr>
            <w:rStyle w:val="Hyperlink"/>
            <w:b/>
            <w:bCs/>
            <w:sz w:val="28"/>
            <w:szCs w:val="28"/>
          </w:rPr>
          <w:t>info@phytochemindia.com</w:t>
        </w:r>
      </w:hyperlink>
    </w:p>
    <w:p w:rsidR="00006426" w:rsidRDefault="00006426" w:rsidP="000064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006426" w:rsidRDefault="00006426" w:rsidP="000064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006426" w:rsidRDefault="00006426" w:rsidP="000064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006426" w:rsidRDefault="00006426" w:rsidP="000064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3951F2" w:rsidRPr="003F36FF" w:rsidRDefault="003951F2" w:rsidP="000064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3F36FF">
        <w:rPr>
          <w:rFonts w:cstheme="minorHAnsi"/>
          <w:b/>
          <w:bCs/>
          <w:sz w:val="26"/>
          <w:szCs w:val="26"/>
        </w:rPr>
        <w:t>Archiving of Documents which are hosted on the Company’s website</w:t>
      </w:r>
    </w:p>
    <w:p w:rsidR="00006426" w:rsidRPr="003951F2" w:rsidRDefault="00006426" w:rsidP="00B82A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3951F2" w:rsidRDefault="003951F2" w:rsidP="00B82A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951F2">
        <w:rPr>
          <w:rFonts w:cstheme="minorHAnsi"/>
          <w:sz w:val="24"/>
          <w:szCs w:val="24"/>
        </w:rPr>
        <w:t>Recognizing the need to ensure the preservation and availability of the Documents of the</w:t>
      </w:r>
      <w:r>
        <w:rPr>
          <w:rFonts w:cstheme="minorHAnsi"/>
          <w:sz w:val="24"/>
          <w:szCs w:val="24"/>
        </w:rPr>
        <w:t xml:space="preserve"> </w:t>
      </w:r>
      <w:r w:rsidRPr="003951F2">
        <w:rPr>
          <w:rFonts w:cstheme="minorHAnsi"/>
          <w:sz w:val="24"/>
          <w:szCs w:val="24"/>
        </w:rPr>
        <w:t>Company after their required regulatory preservation period, for any legal,</w:t>
      </w:r>
      <w:r>
        <w:rPr>
          <w:rFonts w:cstheme="minorHAnsi"/>
          <w:sz w:val="24"/>
          <w:szCs w:val="24"/>
        </w:rPr>
        <w:t xml:space="preserve"> </w:t>
      </w:r>
      <w:r w:rsidRPr="003951F2">
        <w:rPr>
          <w:rFonts w:cstheme="minorHAnsi"/>
          <w:sz w:val="24"/>
          <w:szCs w:val="24"/>
        </w:rPr>
        <w:t>administrative, and historical purposes, the Company adopts the following archival policy</w:t>
      </w:r>
      <w:r w:rsidR="00B82A8B">
        <w:rPr>
          <w:rFonts w:cstheme="minorHAnsi"/>
          <w:sz w:val="24"/>
          <w:szCs w:val="24"/>
        </w:rPr>
        <w:t xml:space="preserve"> </w:t>
      </w:r>
      <w:r w:rsidRPr="003951F2">
        <w:rPr>
          <w:rFonts w:cstheme="minorHAnsi"/>
          <w:sz w:val="24"/>
          <w:szCs w:val="24"/>
        </w:rPr>
        <w:t>in respect of Documents which are hosted on the website of the Company:</w:t>
      </w:r>
    </w:p>
    <w:p w:rsidR="003951F2" w:rsidRDefault="003951F2" w:rsidP="00B82A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951F2" w:rsidRDefault="003951F2" w:rsidP="00B82A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951F2">
        <w:rPr>
          <w:rFonts w:cstheme="minorHAnsi"/>
          <w:sz w:val="24"/>
          <w:szCs w:val="24"/>
        </w:rPr>
        <w:t>1.1</w:t>
      </w:r>
      <w:r w:rsidR="00B82A8B" w:rsidRPr="003951F2">
        <w:rPr>
          <w:rFonts w:cstheme="minorHAnsi"/>
          <w:sz w:val="24"/>
          <w:szCs w:val="24"/>
        </w:rPr>
        <w:t>. All</w:t>
      </w:r>
      <w:r w:rsidRPr="003951F2">
        <w:rPr>
          <w:rFonts w:cstheme="minorHAnsi"/>
          <w:sz w:val="24"/>
          <w:szCs w:val="24"/>
        </w:rPr>
        <w:t xml:space="preserve"> Documents generated, disclosed or received by the Company, on its website,</w:t>
      </w:r>
      <w:r w:rsidR="00B82A8B">
        <w:rPr>
          <w:rFonts w:cstheme="minorHAnsi"/>
          <w:sz w:val="24"/>
          <w:szCs w:val="24"/>
        </w:rPr>
        <w:t xml:space="preserve"> </w:t>
      </w:r>
      <w:r w:rsidRPr="003951F2">
        <w:rPr>
          <w:rFonts w:cstheme="minorHAnsi"/>
          <w:sz w:val="24"/>
          <w:szCs w:val="24"/>
        </w:rPr>
        <w:t>for the purpose of shareholder communication, are the properties of the Company</w:t>
      </w:r>
      <w:r w:rsidR="00B82A8B">
        <w:rPr>
          <w:rFonts w:cstheme="minorHAnsi"/>
          <w:sz w:val="24"/>
          <w:szCs w:val="24"/>
        </w:rPr>
        <w:t xml:space="preserve"> </w:t>
      </w:r>
      <w:r w:rsidRPr="003951F2">
        <w:rPr>
          <w:rFonts w:cstheme="minorHAnsi"/>
          <w:sz w:val="24"/>
          <w:szCs w:val="24"/>
        </w:rPr>
        <w:t>and constitute archival material.</w:t>
      </w:r>
    </w:p>
    <w:p w:rsidR="003951F2" w:rsidRPr="003951F2" w:rsidRDefault="003951F2" w:rsidP="00B82A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951F2" w:rsidRDefault="003951F2" w:rsidP="00B82A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951F2">
        <w:rPr>
          <w:rFonts w:cstheme="minorHAnsi"/>
          <w:sz w:val="24"/>
          <w:szCs w:val="24"/>
        </w:rPr>
        <w:t>1.2. Archival material of the Company shall not be destroyed or purged without the</w:t>
      </w:r>
      <w:r w:rsidR="00B82A8B">
        <w:rPr>
          <w:rFonts w:cstheme="minorHAnsi"/>
          <w:sz w:val="24"/>
          <w:szCs w:val="24"/>
        </w:rPr>
        <w:t xml:space="preserve"> </w:t>
      </w:r>
      <w:r w:rsidRPr="003951F2">
        <w:rPr>
          <w:rFonts w:cstheme="minorHAnsi"/>
          <w:sz w:val="24"/>
          <w:szCs w:val="24"/>
        </w:rPr>
        <w:t xml:space="preserve">approval of the </w:t>
      </w:r>
      <w:r w:rsidR="00B82A8B" w:rsidRPr="003951F2">
        <w:rPr>
          <w:rFonts w:cstheme="minorHAnsi"/>
          <w:sz w:val="24"/>
          <w:szCs w:val="24"/>
        </w:rPr>
        <w:t>Authorized</w:t>
      </w:r>
      <w:r w:rsidRPr="003951F2">
        <w:rPr>
          <w:rFonts w:cstheme="minorHAnsi"/>
          <w:sz w:val="24"/>
          <w:szCs w:val="24"/>
        </w:rPr>
        <w:t xml:space="preserve"> Person.</w:t>
      </w:r>
      <w:r w:rsidR="00B82A8B">
        <w:rPr>
          <w:rFonts w:cstheme="minorHAnsi"/>
          <w:sz w:val="24"/>
          <w:szCs w:val="24"/>
        </w:rPr>
        <w:t xml:space="preserve"> </w:t>
      </w:r>
      <w:r w:rsidRPr="003951F2">
        <w:rPr>
          <w:rFonts w:cstheme="minorHAnsi"/>
          <w:sz w:val="24"/>
          <w:szCs w:val="24"/>
        </w:rPr>
        <w:t>Provided that nothing contained herein shall be deemed to lead to an exception in</w:t>
      </w:r>
      <w:r w:rsidR="00B82A8B">
        <w:rPr>
          <w:rFonts w:cstheme="minorHAnsi"/>
          <w:sz w:val="24"/>
          <w:szCs w:val="24"/>
        </w:rPr>
        <w:t xml:space="preserve"> </w:t>
      </w:r>
      <w:r w:rsidRPr="003951F2">
        <w:rPr>
          <w:rFonts w:cstheme="minorHAnsi"/>
          <w:sz w:val="24"/>
          <w:szCs w:val="24"/>
        </w:rPr>
        <w:t>case of an accidental deletion, or deletion due to any system flaw, virus, or any</w:t>
      </w:r>
      <w:r w:rsidR="00B82A8B">
        <w:rPr>
          <w:rFonts w:cstheme="minorHAnsi"/>
          <w:sz w:val="24"/>
          <w:szCs w:val="24"/>
        </w:rPr>
        <w:t xml:space="preserve"> </w:t>
      </w:r>
      <w:r w:rsidRPr="003951F2">
        <w:rPr>
          <w:rFonts w:cstheme="minorHAnsi"/>
          <w:sz w:val="24"/>
          <w:szCs w:val="24"/>
        </w:rPr>
        <w:t>other deletion, inaccessibility or loss due to any reason other than deliberate and</w:t>
      </w:r>
      <w:r w:rsidR="00B82A8B">
        <w:rPr>
          <w:rFonts w:cstheme="minorHAnsi"/>
          <w:sz w:val="24"/>
          <w:szCs w:val="24"/>
        </w:rPr>
        <w:t xml:space="preserve"> </w:t>
      </w:r>
      <w:r w:rsidRPr="003951F2">
        <w:rPr>
          <w:rFonts w:cstheme="minorHAnsi"/>
          <w:sz w:val="24"/>
          <w:szCs w:val="24"/>
        </w:rPr>
        <w:t>determinate deletion.</w:t>
      </w:r>
    </w:p>
    <w:p w:rsidR="003951F2" w:rsidRPr="003951F2" w:rsidRDefault="003951F2" w:rsidP="00B82A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951F2" w:rsidRDefault="003951F2" w:rsidP="00B82A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951F2">
        <w:rPr>
          <w:rFonts w:cstheme="minorHAnsi"/>
          <w:sz w:val="24"/>
          <w:szCs w:val="24"/>
        </w:rPr>
        <w:t>1.3. Material so selected for preservation shall be sent to the Company archives in the</w:t>
      </w:r>
      <w:r w:rsidR="00B82A8B">
        <w:rPr>
          <w:rFonts w:cstheme="minorHAnsi"/>
          <w:sz w:val="24"/>
          <w:szCs w:val="24"/>
        </w:rPr>
        <w:t xml:space="preserve"> </w:t>
      </w:r>
      <w:r w:rsidRPr="003951F2">
        <w:rPr>
          <w:rFonts w:cstheme="minorHAnsi"/>
          <w:sz w:val="24"/>
          <w:szCs w:val="24"/>
        </w:rPr>
        <w:t>category of [Libraries</w:t>
      </w:r>
      <w:proofErr w:type="gramStart"/>
      <w:r w:rsidRPr="003951F2">
        <w:rPr>
          <w:rFonts w:cstheme="minorHAnsi"/>
          <w:sz w:val="24"/>
          <w:szCs w:val="24"/>
        </w:rPr>
        <w:t>]1</w:t>
      </w:r>
      <w:proofErr w:type="gramEnd"/>
      <w:r w:rsidRPr="003951F2">
        <w:rPr>
          <w:rFonts w:cstheme="minorHAnsi"/>
          <w:sz w:val="24"/>
          <w:szCs w:val="24"/>
        </w:rPr>
        <w:t>.</w:t>
      </w:r>
    </w:p>
    <w:p w:rsidR="003951F2" w:rsidRPr="003951F2" w:rsidRDefault="003951F2" w:rsidP="00B82A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951F2" w:rsidRDefault="003951F2" w:rsidP="00B82A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951F2">
        <w:rPr>
          <w:rFonts w:cstheme="minorHAnsi"/>
          <w:sz w:val="24"/>
          <w:szCs w:val="24"/>
        </w:rPr>
        <w:t xml:space="preserve">1.4. The </w:t>
      </w:r>
      <w:r w:rsidR="00B82A8B" w:rsidRPr="003951F2">
        <w:rPr>
          <w:rFonts w:cstheme="minorHAnsi"/>
          <w:sz w:val="24"/>
          <w:szCs w:val="24"/>
        </w:rPr>
        <w:t>Authorized</w:t>
      </w:r>
      <w:r w:rsidRPr="003951F2">
        <w:rPr>
          <w:rFonts w:cstheme="minorHAnsi"/>
          <w:sz w:val="24"/>
          <w:szCs w:val="24"/>
        </w:rPr>
        <w:t xml:space="preserve"> Person, in consultation with the Board, will be responsible for</w:t>
      </w:r>
      <w:r w:rsidR="00B82A8B">
        <w:rPr>
          <w:rFonts w:cstheme="minorHAnsi"/>
          <w:sz w:val="24"/>
          <w:szCs w:val="24"/>
        </w:rPr>
        <w:t xml:space="preserve"> </w:t>
      </w:r>
      <w:r w:rsidRPr="003951F2">
        <w:rPr>
          <w:rFonts w:cstheme="minorHAnsi"/>
          <w:sz w:val="24"/>
          <w:szCs w:val="24"/>
        </w:rPr>
        <w:t>deciding how long archival material is to be retained in and under the direct</w:t>
      </w:r>
      <w:r w:rsidR="00B82A8B">
        <w:rPr>
          <w:rFonts w:cstheme="minorHAnsi"/>
          <w:sz w:val="24"/>
          <w:szCs w:val="24"/>
        </w:rPr>
        <w:t xml:space="preserve"> </w:t>
      </w:r>
      <w:r w:rsidRPr="003951F2">
        <w:rPr>
          <w:rFonts w:cstheme="minorHAnsi"/>
          <w:sz w:val="24"/>
          <w:szCs w:val="24"/>
        </w:rPr>
        <w:t>control of the officer concerned, if the law does not specify any time period. The</w:t>
      </w:r>
      <w:r w:rsidR="00B82A8B">
        <w:rPr>
          <w:rFonts w:cstheme="minorHAnsi"/>
          <w:sz w:val="24"/>
          <w:szCs w:val="24"/>
        </w:rPr>
        <w:t xml:space="preserve"> </w:t>
      </w:r>
      <w:r w:rsidRPr="003951F2">
        <w:rPr>
          <w:rFonts w:cstheme="minorHAnsi"/>
          <w:sz w:val="24"/>
          <w:szCs w:val="24"/>
        </w:rPr>
        <w:t>period shall not be less than 3 years.</w:t>
      </w:r>
    </w:p>
    <w:p w:rsidR="003951F2" w:rsidRPr="003951F2" w:rsidRDefault="003951F2" w:rsidP="00B82A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951F2" w:rsidRDefault="003951F2" w:rsidP="00B82A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951F2">
        <w:rPr>
          <w:rFonts w:cstheme="minorHAnsi"/>
          <w:sz w:val="24"/>
          <w:szCs w:val="24"/>
        </w:rPr>
        <w:t>1.5. With reference to the pretext, the Documents submitted to the stock exchange, to</w:t>
      </w:r>
      <w:r w:rsidR="00B82A8B">
        <w:rPr>
          <w:rFonts w:cstheme="minorHAnsi"/>
          <w:sz w:val="24"/>
          <w:szCs w:val="24"/>
        </w:rPr>
        <w:t xml:space="preserve"> </w:t>
      </w:r>
      <w:r w:rsidRPr="003951F2">
        <w:rPr>
          <w:rFonts w:cstheme="minorHAnsi"/>
          <w:sz w:val="24"/>
          <w:szCs w:val="24"/>
        </w:rPr>
        <w:t>be hosted on the website for the purpose of compliance with disclosure norms</w:t>
      </w:r>
      <w:r w:rsidR="00B82A8B">
        <w:rPr>
          <w:rFonts w:cstheme="minorHAnsi"/>
          <w:sz w:val="24"/>
          <w:szCs w:val="24"/>
        </w:rPr>
        <w:t xml:space="preserve"> </w:t>
      </w:r>
      <w:r w:rsidRPr="003951F2">
        <w:rPr>
          <w:rFonts w:cstheme="minorHAnsi"/>
          <w:sz w:val="24"/>
          <w:szCs w:val="24"/>
        </w:rPr>
        <w:t>shall also be archived.</w:t>
      </w:r>
    </w:p>
    <w:p w:rsidR="003951F2" w:rsidRPr="003951F2" w:rsidRDefault="003951F2" w:rsidP="00B82A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951F2" w:rsidRDefault="003951F2" w:rsidP="00B82A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951F2">
        <w:rPr>
          <w:rFonts w:cstheme="minorHAnsi"/>
          <w:sz w:val="24"/>
          <w:szCs w:val="24"/>
        </w:rPr>
        <w:t>a. Archiving of the Documents to be submitted to the stock exchange, in terms of</w:t>
      </w:r>
      <w:r w:rsidR="00B82A8B">
        <w:rPr>
          <w:rFonts w:cstheme="minorHAnsi"/>
          <w:sz w:val="24"/>
          <w:szCs w:val="24"/>
        </w:rPr>
        <w:t xml:space="preserve"> </w:t>
      </w:r>
      <w:r w:rsidRPr="003951F2">
        <w:rPr>
          <w:rFonts w:cstheme="minorHAnsi"/>
          <w:sz w:val="24"/>
          <w:szCs w:val="24"/>
        </w:rPr>
        <w:t>the Regulations, shall be done after the lapse of the preservation period of 5 years</w:t>
      </w:r>
      <w:r w:rsidR="00B82A8B">
        <w:rPr>
          <w:rFonts w:cstheme="minorHAnsi"/>
          <w:sz w:val="24"/>
          <w:szCs w:val="24"/>
        </w:rPr>
        <w:t xml:space="preserve"> </w:t>
      </w:r>
      <w:r w:rsidRPr="003951F2">
        <w:rPr>
          <w:rFonts w:cstheme="minorHAnsi"/>
          <w:sz w:val="24"/>
          <w:szCs w:val="24"/>
        </w:rPr>
        <w:t>[as specified in Regulation 30(8)], as per the archival policy.</w:t>
      </w:r>
    </w:p>
    <w:p w:rsidR="003951F2" w:rsidRPr="003951F2" w:rsidRDefault="003951F2" w:rsidP="00B82A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472FF" w:rsidRPr="003951F2" w:rsidRDefault="003951F2" w:rsidP="00B82A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951F2">
        <w:rPr>
          <w:rFonts w:cstheme="minorHAnsi"/>
          <w:sz w:val="24"/>
          <w:szCs w:val="24"/>
        </w:rPr>
        <w:t>b. For the Documents to be submitted to the stock exchange to comply with</w:t>
      </w:r>
      <w:r w:rsidR="00B82A8B">
        <w:rPr>
          <w:rFonts w:cstheme="minorHAnsi"/>
          <w:sz w:val="24"/>
          <w:szCs w:val="24"/>
        </w:rPr>
        <w:t xml:space="preserve"> </w:t>
      </w:r>
      <w:r w:rsidRPr="003951F2">
        <w:rPr>
          <w:rFonts w:cstheme="minorHAnsi"/>
          <w:sz w:val="24"/>
          <w:szCs w:val="24"/>
        </w:rPr>
        <w:t>disclosure norms as required by any other Applicable Law, the Documents are to</w:t>
      </w:r>
      <w:r w:rsidR="00B82A8B">
        <w:rPr>
          <w:rFonts w:cstheme="minorHAnsi"/>
          <w:sz w:val="24"/>
          <w:szCs w:val="24"/>
        </w:rPr>
        <w:t xml:space="preserve"> </w:t>
      </w:r>
      <w:r w:rsidRPr="003951F2">
        <w:rPr>
          <w:rFonts w:cstheme="minorHAnsi"/>
          <w:sz w:val="24"/>
          <w:szCs w:val="24"/>
        </w:rPr>
        <w:t>be archived after the lapse of the specified/required time period</w:t>
      </w:r>
      <w:r w:rsidR="00006426">
        <w:rPr>
          <w:rFonts w:cstheme="minorHAnsi"/>
          <w:sz w:val="24"/>
          <w:szCs w:val="24"/>
        </w:rPr>
        <w:t>.</w:t>
      </w:r>
    </w:p>
    <w:sectPr w:rsidR="00B472FF" w:rsidRPr="003951F2" w:rsidSect="00006426">
      <w:pgSz w:w="12240" w:h="15840"/>
      <w:pgMar w:top="63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51F2"/>
    <w:rsid w:val="00006426"/>
    <w:rsid w:val="00015878"/>
    <w:rsid w:val="003951F2"/>
    <w:rsid w:val="003F36FF"/>
    <w:rsid w:val="008327AE"/>
    <w:rsid w:val="00B472FF"/>
    <w:rsid w:val="00B82A8B"/>
    <w:rsid w:val="00E9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64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hytochemindi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hytochem@phytochemind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hytochemindia.com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NANDYALA-4</dc:creator>
  <cp:keywords/>
  <dc:description/>
  <cp:lastModifiedBy>fm</cp:lastModifiedBy>
  <cp:revision>4</cp:revision>
  <dcterms:created xsi:type="dcterms:W3CDTF">2015-12-16T08:23:00Z</dcterms:created>
  <dcterms:modified xsi:type="dcterms:W3CDTF">2015-12-16T08:29:00Z</dcterms:modified>
</cp:coreProperties>
</file>